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5C6" w:rsidRPr="00AF15C6" w:rsidRDefault="00AF15C6" w:rsidP="00AF15C6">
      <w:pPr>
        <w:spacing w:after="0" w:line="240" w:lineRule="auto"/>
        <w:ind w:right="1758"/>
        <w:jc w:val="both"/>
        <w:rPr>
          <w:rFonts w:ascii="Tahoma" w:hAnsi="Tahoma" w:cs="Tahoma"/>
          <w:b/>
          <w:sz w:val="20"/>
          <w:szCs w:val="20"/>
        </w:rPr>
      </w:pPr>
    </w:p>
    <w:p w:rsidR="00AF15C6" w:rsidRPr="00AF15C6" w:rsidRDefault="00AF15C6" w:rsidP="00636610">
      <w:pPr>
        <w:pStyle w:val="Textoindependiente"/>
        <w:widowControl w:val="0"/>
        <w:tabs>
          <w:tab w:val="left" w:pos="2410"/>
          <w:tab w:val="left" w:pos="3686"/>
          <w:tab w:val="left" w:pos="6379"/>
          <w:tab w:val="left" w:pos="6946"/>
        </w:tabs>
        <w:suppressAutoHyphens/>
        <w:spacing w:after="0" w:line="240" w:lineRule="auto"/>
        <w:ind w:left="3261" w:right="2126" w:hanging="993"/>
        <w:jc w:val="both"/>
        <w:rPr>
          <w:rFonts w:ascii="Tahoma" w:hAnsi="Tahoma" w:cs="Tahoma"/>
          <w:b/>
          <w:sz w:val="20"/>
          <w:szCs w:val="20"/>
        </w:rPr>
      </w:pPr>
      <w:r w:rsidRPr="00AF15C6">
        <w:rPr>
          <w:rFonts w:ascii="Tahoma" w:hAnsi="Tahoma" w:cs="Tahoma"/>
          <w:b/>
          <w:sz w:val="20"/>
          <w:szCs w:val="20"/>
        </w:rPr>
        <w:t xml:space="preserve">Sumilla:  </w:t>
      </w:r>
      <w:r w:rsidR="00636610" w:rsidRPr="00636610">
        <w:rPr>
          <w:rFonts w:ascii="Tahoma" w:hAnsi="Tahoma" w:cs="Tahoma"/>
          <w:i/>
          <w:sz w:val="20"/>
          <w:szCs w:val="20"/>
        </w:rPr>
        <w:t>E</w:t>
      </w:r>
      <w:r w:rsidR="00636610" w:rsidRPr="00636610">
        <w:rPr>
          <w:rFonts w:ascii="Tahoma" w:hAnsi="Tahoma" w:cs="Tahoma"/>
          <w:i/>
          <w:sz w:val="20"/>
          <w:szCs w:val="20"/>
          <w:lang w:val="es-MX"/>
        </w:rPr>
        <w:t xml:space="preserve">l artículo 42º de la Ley de Procedimiento Administrativo General establece que todas las declaraciones juradas, los documentos sucedáneos presentados y la información incluida en los escritos y formularios que presenten los administrados, </w:t>
      </w:r>
      <w:r w:rsidR="00636610" w:rsidRPr="00636610">
        <w:rPr>
          <w:rFonts w:ascii="Tahoma" w:hAnsi="Tahoma" w:cs="Tahoma"/>
          <w:bCs/>
          <w:i/>
          <w:sz w:val="20"/>
          <w:szCs w:val="20"/>
          <w:lang w:val="es-MX"/>
        </w:rPr>
        <w:t>se presumen verificados por quien hace uso de ellos</w:t>
      </w:r>
      <w:r w:rsidRPr="00636610">
        <w:rPr>
          <w:rFonts w:ascii="Tahoma" w:hAnsi="Tahoma" w:cs="Tahoma"/>
          <w:i/>
          <w:sz w:val="20"/>
          <w:szCs w:val="20"/>
        </w:rPr>
        <w:t>.</w:t>
      </w:r>
    </w:p>
    <w:p w:rsidR="00AF15C6" w:rsidRPr="00AF15C6" w:rsidRDefault="00AF15C6" w:rsidP="00AF15C6">
      <w:pPr>
        <w:pStyle w:val="Textoindependiente3"/>
        <w:spacing w:after="0"/>
        <w:ind w:left="4248" w:right="179" w:firstLine="708"/>
        <w:jc w:val="both"/>
        <w:rPr>
          <w:rFonts w:ascii="Tahoma" w:hAnsi="Tahoma" w:cs="Tahoma"/>
          <w:b/>
          <w:sz w:val="20"/>
          <w:szCs w:val="20"/>
        </w:rPr>
      </w:pPr>
    </w:p>
    <w:p w:rsidR="00AF15C6" w:rsidRPr="00AF15C6" w:rsidRDefault="00AF15C6" w:rsidP="00AF15C6">
      <w:pPr>
        <w:pStyle w:val="Textoindependiente3"/>
        <w:spacing w:after="0"/>
        <w:ind w:left="4248" w:right="179" w:firstLine="708"/>
        <w:jc w:val="both"/>
        <w:rPr>
          <w:rFonts w:ascii="Tahoma" w:hAnsi="Tahoma" w:cs="Tahoma"/>
          <w:sz w:val="20"/>
          <w:szCs w:val="20"/>
        </w:rPr>
      </w:pPr>
      <w:r w:rsidRPr="00AF15C6">
        <w:rPr>
          <w:rFonts w:ascii="Tahoma" w:hAnsi="Tahoma" w:cs="Tahoma"/>
          <w:b/>
          <w:sz w:val="20"/>
          <w:szCs w:val="20"/>
        </w:rPr>
        <w:t>Lima</w:t>
      </w:r>
      <w:r w:rsidRPr="00AF15C6">
        <w:rPr>
          <w:rFonts w:ascii="Tahoma" w:hAnsi="Tahoma" w:cs="Tahoma"/>
          <w:sz w:val="20"/>
          <w:szCs w:val="20"/>
        </w:rPr>
        <w:t xml:space="preserve">, </w:t>
      </w:r>
      <w:r w:rsidR="00A1688D">
        <w:rPr>
          <w:rFonts w:ascii="Tahoma" w:hAnsi="Tahoma" w:cs="Tahoma"/>
          <w:sz w:val="20"/>
          <w:szCs w:val="20"/>
        </w:rPr>
        <w:t>04 de Marzo de 2011</w:t>
      </w:r>
    </w:p>
    <w:p w:rsidR="00AF15C6" w:rsidRPr="00AF15C6" w:rsidRDefault="00AF15C6" w:rsidP="00AF15C6">
      <w:pPr>
        <w:pStyle w:val="Textoindependiente3"/>
        <w:spacing w:after="0"/>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r w:rsidRPr="00AF15C6">
        <w:rPr>
          <w:rFonts w:ascii="Tahoma" w:hAnsi="Tahoma" w:cs="Tahoma"/>
          <w:b/>
          <w:sz w:val="20"/>
          <w:szCs w:val="20"/>
        </w:rPr>
        <w:t>VISTO</w:t>
      </w:r>
      <w:r w:rsidRPr="00AF15C6">
        <w:rPr>
          <w:rFonts w:ascii="Tahoma" w:hAnsi="Tahoma" w:cs="Tahoma"/>
          <w:sz w:val="20"/>
          <w:szCs w:val="20"/>
        </w:rPr>
        <w:t xml:space="preserve"> en sesión de fecha 03 de marzo de 2011 de la Primera Sala del Tribunal de Contrataciones del Estado el Expediente № </w:t>
      </w:r>
      <w:r w:rsidR="00135D85">
        <w:rPr>
          <w:rFonts w:ascii="Tahoma" w:hAnsi="Tahoma" w:cs="Tahoma"/>
          <w:sz w:val="20"/>
          <w:szCs w:val="20"/>
        </w:rPr>
        <w:t>3048/2008</w:t>
      </w:r>
      <w:r w:rsidRPr="00AF15C6">
        <w:rPr>
          <w:rFonts w:ascii="Tahoma" w:hAnsi="Tahoma" w:cs="Tahoma"/>
          <w:sz w:val="20"/>
          <w:szCs w:val="20"/>
        </w:rPr>
        <w:t xml:space="preserve">.TC, sobre el procedimiento administrativo sancionador contra la </w:t>
      </w:r>
      <w:r w:rsidR="00135D85">
        <w:rPr>
          <w:rFonts w:ascii="Tahoma" w:hAnsi="Tahoma" w:cs="Tahoma"/>
          <w:sz w:val="20"/>
          <w:szCs w:val="20"/>
        </w:rPr>
        <w:t>empresa</w:t>
      </w:r>
      <w:r w:rsidRPr="00AF15C6">
        <w:rPr>
          <w:rFonts w:ascii="Tahoma" w:hAnsi="Tahoma" w:cs="Tahoma"/>
          <w:sz w:val="20"/>
          <w:szCs w:val="20"/>
        </w:rPr>
        <w:t xml:space="preserve"> </w:t>
      </w:r>
      <w:r w:rsidR="00135D85" w:rsidRPr="00AF15C6">
        <w:rPr>
          <w:rFonts w:ascii="Tahoma" w:hAnsi="Tahoma" w:cs="Tahoma"/>
          <w:sz w:val="20"/>
          <w:szCs w:val="20"/>
        </w:rPr>
        <w:t>REPRESENTACIONES MEDICAS M&amp;M E.I.R.L.</w:t>
      </w:r>
      <w:r w:rsidRPr="00AF15C6">
        <w:rPr>
          <w:rFonts w:ascii="Tahoma" w:hAnsi="Tahoma" w:cs="Tahoma"/>
          <w:sz w:val="20"/>
          <w:szCs w:val="20"/>
        </w:rPr>
        <w:t xml:space="preserve">, por </w:t>
      </w:r>
      <w:r w:rsidR="00135D85">
        <w:rPr>
          <w:rFonts w:ascii="Tahoma" w:hAnsi="Tahoma" w:cs="Tahoma"/>
          <w:sz w:val="20"/>
          <w:szCs w:val="20"/>
        </w:rPr>
        <w:t xml:space="preserve">haber presentado documentos falsos y/o información inexacta durante el desarrollo de </w:t>
      </w:r>
      <w:r w:rsidR="00135D85" w:rsidRPr="00AF15C6">
        <w:rPr>
          <w:rFonts w:ascii="Tahoma" w:hAnsi="Tahoma" w:cs="Tahoma"/>
          <w:sz w:val="20"/>
          <w:szCs w:val="20"/>
        </w:rPr>
        <w:t>la A</w:t>
      </w:r>
      <w:r w:rsidR="00D1409D">
        <w:rPr>
          <w:rFonts w:ascii="Tahoma" w:hAnsi="Tahoma" w:cs="Tahoma"/>
          <w:sz w:val="20"/>
          <w:szCs w:val="20"/>
        </w:rPr>
        <w:t>djudicación Directa Selectiva N</w:t>
      </w:r>
      <w:r w:rsidR="00135D85" w:rsidRPr="00AF15C6">
        <w:rPr>
          <w:rFonts w:ascii="Tahoma" w:hAnsi="Tahoma" w:cs="Tahoma"/>
          <w:sz w:val="20"/>
          <w:szCs w:val="20"/>
        </w:rPr>
        <w:t>º 019-2008/INGEMMET/OA-U</w:t>
      </w:r>
      <w:r w:rsidR="00135D85">
        <w:rPr>
          <w:rFonts w:ascii="Tahoma" w:hAnsi="Tahoma" w:cs="Tahoma"/>
          <w:sz w:val="20"/>
          <w:szCs w:val="20"/>
        </w:rPr>
        <w:t xml:space="preserve">L, efectuada por </w:t>
      </w:r>
      <w:r w:rsidR="00135D85" w:rsidRPr="00AF15C6">
        <w:rPr>
          <w:rFonts w:ascii="Tahoma" w:hAnsi="Tahoma" w:cs="Tahoma"/>
          <w:sz w:val="20"/>
          <w:szCs w:val="20"/>
        </w:rPr>
        <w:t>el Instituto Geológico, Minero y Metalúrgico (INGEMMET)</w:t>
      </w:r>
      <w:r w:rsidR="00135D85">
        <w:rPr>
          <w:rFonts w:ascii="Tahoma" w:hAnsi="Tahoma" w:cs="Tahoma"/>
          <w:sz w:val="20"/>
          <w:szCs w:val="20"/>
        </w:rPr>
        <w:t xml:space="preserve"> para </w:t>
      </w:r>
      <w:r w:rsidR="00135D85" w:rsidRPr="00AF15C6">
        <w:rPr>
          <w:rFonts w:ascii="Tahoma" w:hAnsi="Tahoma" w:cs="Tahoma"/>
          <w:sz w:val="20"/>
          <w:szCs w:val="20"/>
        </w:rPr>
        <w:t>la adquisición de medicinas</w:t>
      </w:r>
      <w:r w:rsidRPr="00AF15C6">
        <w:rPr>
          <w:rFonts w:ascii="Tahoma" w:hAnsi="Tahoma" w:cs="Tahoma"/>
          <w:sz w:val="20"/>
          <w:szCs w:val="20"/>
        </w:rPr>
        <w:t xml:space="preserve">; y, atendiendo a los siguientes:   </w:t>
      </w:r>
    </w:p>
    <w:p w:rsidR="00AF15C6" w:rsidRPr="00AF15C6" w:rsidRDefault="00AF15C6" w:rsidP="00AF15C6">
      <w:pPr>
        <w:spacing w:after="0" w:line="240" w:lineRule="auto"/>
        <w:ind w:right="45"/>
        <w:jc w:val="both"/>
        <w:rPr>
          <w:rFonts w:ascii="Tahoma" w:hAnsi="Tahoma" w:cs="Tahoma"/>
          <w:sz w:val="20"/>
          <w:szCs w:val="20"/>
        </w:rPr>
      </w:pPr>
    </w:p>
    <w:p w:rsidR="00AF15C6" w:rsidRPr="00AF15C6" w:rsidRDefault="00AF15C6" w:rsidP="00AF15C6">
      <w:pPr>
        <w:pStyle w:val="Ttulo2"/>
        <w:jc w:val="both"/>
        <w:rPr>
          <w:rFonts w:cs="Tahoma"/>
          <w:sz w:val="20"/>
        </w:rPr>
      </w:pPr>
      <w:r w:rsidRPr="00AF15C6">
        <w:rPr>
          <w:rFonts w:cs="Tahoma"/>
          <w:sz w:val="20"/>
        </w:rPr>
        <w:t>ANTECEDENTES:</w:t>
      </w:r>
    </w:p>
    <w:p w:rsidR="00AF15C6" w:rsidRDefault="00AF15C6" w:rsidP="00AF15C6">
      <w:pPr>
        <w:spacing w:after="0" w:line="240" w:lineRule="auto"/>
        <w:ind w:left="720"/>
        <w:jc w:val="both"/>
        <w:rPr>
          <w:rFonts w:ascii="Tahoma" w:hAnsi="Tahoma" w:cs="Tahoma"/>
          <w:sz w:val="20"/>
          <w:szCs w:val="20"/>
        </w:rPr>
      </w:pPr>
    </w:p>
    <w:p w:rsid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Mediante publicación efectuada el 28 de mayo de 2008, en el Sistema Electrónico de Contrataciones y Adquisiciones del Estado (SEACE), el Instituto Geológico, Minero y Metalúrgico (INGEMMET), en adelante la Entidad, convocó la Adjudicación Directa Selectiva N.º 019-2008/INGEMMET/OA-UL, para la adquisición de medicinas, bajo el sistema de suma alzada, por un valor referencial equivalente a S/. 55 707,00 (Cincuenta y cinco mil setecientos siete con 00/100 nuevos soles), incluidos los impuestos de Ley.</w:t>
      </w:r>
    </w:p>
    <w:p w:rsidR="00AF15C6" w:rsidRPr="00AF15C6" w:rsidRDefault="00AF15C6" w:rsidP="00AF15C6">
      <w:pPr>
        <w:spacing w:after="0" w:line="240" w:lineRule="auto"/>
        <w:ind w:left="284" w:hanging="284"/>
        <w:jc w:val="both"/>
        <w:rPr>
          <w:rFonts w:ascii="Tahoma" w:hAnsi="Tahoma" w:cs="Tahoma"/>
          <w:sz w:val="20"/>
          <w:szCs w:val="20"/>
        </w:rPr>
      </w:pPr>
    </w:p>
    <w:p w:rsidR="00AF15C6" w:rsidRPr="00AF15C6" w:rsidRDefault="00AF15C6" w:rsidP="00AF15C6">
      <w:pPr>
        <w:spacing w:line="240" w:lineRule="auto"/>
        <w:ind w:left="284"/>
        <w:jc w:val="both"/>
        <w:rPr>
          <w:rFonts w:ascii="Tahoma" w:hAnsi="Tahoma" w:cs="Tahoma"/>
          <w:sz w:val="20"/>
          <w:szCs w:val="20"/>
        </w:rPr>
      </w:pPr>
      <w:r w:rsidRPr="00AF15C6">
        <w:rPr>
          <w:rFonts w:ascii="Tahoma" w:hAnsi="Tahoma" w:cs="Tahoma"/>
          <w:sz w:val="20"/>
          <w:szCs w:val="20"/>
        </w:rPr>
        <w:t xml:space="preserve">El presente procedimiento está referido al ítem 1: Medicinas Varias, cuyo valor referencial asciende a S/. 53 331,00 (Cincuenta y tres mil trescientos treinta y uno con 00/100 nuevos soles).  </w:t>
      </w: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El 17 de junio de 2008, se publicaron los resultados del proceso de selección, adjudicándose la buena pro a favor de la empresa REPRESENTACIONES MEDICAS M&amp;M E.I.R.L., en adelante el Postor.</w:t>
      </w:r>
    </w:p>
    <w:p w:rsidR="00AF15C6" w:rsidRDefault="00AF15C6" w:rsidP="00AF15C6">
      <w:pPr>
        <w:spacing w:after="0" w:line="240" w:lineRule="auto"/>
        <w:ind w:left="284" w:hanging="284"/>
        <w:jc w:val="both"/>
        <w:rPr>
          <w:rFonts w:ascii="Tahoma" w:hAnsi="Tahoma" w:cs="Tahoma"/>
          <w:sz w:val="20"/>
          <w:szCs w:val="20"/>
        </w:rPr>
      </w:pPr>
    </w:p>
    <w:p w:rsid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El 24 de junio de 2008, Mega Medical S.A.C., en adelante MEGA MEDICAL, interpuso recurso de apelación contra el otorgamiento de la buena pro, a fin que se descalifique a REPRESENTACIONES MÉDICAS, por haber presentado documentación inexacta.</w:t>
      </w:r>
    </w:p>
    <w:p w:rsidR="00AF15C6" w:rsidRDefault="00AF15C6" w:rsidP="00AF15C6">
      <w:pPr>
        <w:pStyle w:val="Prrafodelista"/>
        <w:ind w:left="284" w:hanging="284"/>
        <w:rPr>
          <w:rFonts w:ascii="Tahoma" w:hAnsi="Tahoma" w:cs="Tahoma"/>
          <w:sz w:val="20"/>
        </w:rPr>
      </w:pPr>
    </w:p>
    <w:p w:rsidR="00AF15C6" w:rsidRPr="00AF15C6" w:rsidRDefault="00AF15C6" w:rsidP="00AF15C6">
      <w:pPr>
        <w:spacing w:after="0" w:line="240" w:lineRule="auto"/>
        <w:ind w:left="284"/>
        <w:jc w:val="both"/>
        <w:rPr>
          <w:rFonts w:ascii="Tahoma" w:hAnsi="Tahoma" w:cs="Tahoma"/>
          <w:sz w:val="20"/>
          <w:szCs w:val="20"/>
        </w:rPr>
      </w:pPr>
      <w:r w:rsidRPr="00AF15C6">
        <w:rPr>
          <w:rFonts w:ascii="Tahoma" w:hAnsi="Tahoma" w:cs="Tahoma"/>
          <w:sz w:val="20"/>
          <w:szCs w:val="20"/>
        </w:rPr>
        <w:t xml:space="preserve">Sostuvo MEGA MEDICAL que diversos productos ofertados por REPRESENTACIONES MEDICAS provienen del extranjero, tales como Atural (Uruguay), Bisturí N.º 20 (China), Curitas (Colombia), Dayflu (Colombia), Diclofenaco gel (Colombia), Migradorixina (Colombia), Plidan Compuesto (Colombia); razón por la cual consideró que la Declaración Jurada en la que manifiesta que oferta productos de origen nacional contiene información inexacta que indujo a error al Comité Especial, quien le asignó </w:t>
      </w:r>
      <w:r w:rsidRPr="00AF15C6">
        <w:rPr>
          <w:rFonts w:ascii="Tahoma" w:hAnsi="Tahoma" w:cs="Tahoma"/>
          <w:sz w:val="20"/>
          <w:szCs w:val="20"/>
        </w:rPr>
        <w:lastRenderedPageBreak/>
        <w:t xml:space="preserve">indebidamente la bonificación del 20% adicional sobre la sumatoria de su puntaje final.  En tal sentido, agregó que el referido postor presentó el Registro Sanitario del diclofenaco gel emitido a favor de Laboratorios Genfar, en el que se precisa que dicho medicamento es elaborado en el extranjero.  </w:t>
      </w:r>
    </w:p>
    <w:p w:rsidR="00AF15C6" w:rsidRDefault="00AF15C6" w:rsidP="00AF15C6">
      <w:pPr>
        <w:spacing w:after="0" w:line="240" w:lineRule="auto"/>
        <w:ind w:left="284" w:hanging="284"/>
        <w:jc w:val="both"/>
        <w:rPr>
          <w:rFonts w:ascii="Tahoma" w:hAnsi="Tahoma" w:cs="Tahoma"/>
          <w:sz w:val="20"/>
          <w:szCs w:val="20"/>
        </w:rPr>
      </w:pP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Con Resolución Nº 2102-2008-TC-S1 de fecha 24 de julio de 2008, la Primera Sala del Tribunal dispuso declarar fundado el recurso de apelación presentado y en virtud a ello, dispuso abrir expediente de aplicación de sanción al Postor  por supuesta responsabilidad en la presentación de documentos falsos o inexactos  respecto del ítem Nº 1 de la Adjudicación Directa Selectiva N.º 019-2008/INGEMMET/OA-UL, toda vez que se corroboró que no toda la integridad de bienes ofertados habían sido elaborado en territorio nacional, lo que se demostró con el Registro Sanitario presentado por el Postor</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Con decreto de fecha 13 de agosto de 2008, se inició procedimiento administrativo sancionador contra el Postor por supuesta responsabilidad en la presentación de documentos falsos o inexactos. Se le concedió diez días a efectos que presente sus descargos respectivos, bajo apercibimiento de resolver con la documentación obrante en autos.</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Mediante escrito de fecha 02 de octubre de 2008, el Postor presentó sus descargos en los siguientes términos:</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6"/>
        </w:numPr>
        <w:suppressAutoHyphens w:val="0"/>
        <w:ind w:left="1134" w:hanging="567"/>
        <w:jc w:val="both"/>
        <w:rPr>
          <w:rFonts w:ascii="Tahoma" w:hAnsi="Tahoma" w:cs="Tahoma"/>
          <w:sz w:val="20"/>
        </w:rPr>
      </w:pPr>
      <w:r w:rsidRPr="00AF15C6">
        <w:rPr>
          <w:rFonts w:ascii="Tahoma" w:hAnsi="Tahoma" w:cs="Tahoma"/>
          <w:sz w:val="20"/>
        </w:rPr>
        <w:t>Reconoció que por error se señaló que los productos ofertados eran de origen nacional, pues no se tuvo la intención de causar daño alguno, ni mucho menos inducir en error al Comité Especial, toda vez que al presentar dichos productos se acompañó el registro sanitario  donde se hace mención expresa de lugar de fabricación, por lo que no habría resultado lógico intentar ocasionar daño o sorprender  a la Entidad.</w:t>
      </w:r>
    </w:p>
    <w:p w:rsidR="00AF15C6" w:rsidRPr="00AF15C6" w:rsidRDefault="00AF15C6" w:rsidP="00AF15C6">
      <w:pPr>
        <w:pStyle w:val="Prrafodelista"/>
        <w:ind w:left="1134" w:hanging="567"/>
        <w:jc w:val="both"/>
        <w:rPr>
          <w:rFonts w:ascii="Tahoma" w:hAnsi="Tahoma" w:cs="Tahoma"/>
          <w:sz w:val="20"/>
        </w:rPr>
      </w:pPr>
    </w:p>
    <w:p w:rsidR="00AF15C6" w:rsidRPr="00AF15C6" w:rsidRDefault="00AF15C6" w:rsidP="00AF15C6">
      <w:pPr>
        <w:pStyle w:val="Prrafodelista"/>
        <w:widowControl/>
        <w:numPr>
          <w:ilvl w:val="0"/>
          <w:numId w:val="6"/>
        </w:numPr>
        <w:suppressAutoHyphens w:val="0"/>
        <w:ind w:left="1134" w:hanging="567"/>
        <w:jc w:val="both"/>
        <w:rPr>
          <w:rFonts w:ascii="Tahoma" w:hAnsi="Tahoma" w:cs="Tahoma"/>
          <w:sz w:val="20"/>
        </w:rPr>
      </w:pPr>
      <w:r w:rsidRPr="00AF15C6">
        <w:rPr>
          <w:rFonts w:ascii="Tahoma" w:hAnsi="Tahoma" w:cs="Tahoma"/>
          <w:sz w:val="20"/>
        </w:rPr>
        <w:t>Asimismo, se indicó que en la AMC Nº 0030-2007-INGEMMET, la Entidad otorgó el 20% de bonificación adicional por productos nacionales a todo un paquete que contenía productos nacionales e importados, siendo la beneficiada de la buena pro en esa oportunidad la empresa MEGS MEDICAL S.A.C., que también presentó una declaración jurada de producto nacional.</w:t>
      </w:r>
    </w:p>
    <w:p w:rsidR="00AF15C6" w:rsidRPr="00AF15C6" w:rsidRDefault="00AF15C6" w:rsidP="00AF15C6">
      <w:pPr>
        <w:pStyle w:val="Prrafodelista"/>
        <w:ind w:left="1134" w:hanging="567"/>
        <w:jc w:val="both"/>
        <w:rPr>
          <w:rFonts w:ascii="Tahoma" w:hAnsi="Tahoma" w:cs="Tahoma"/>
          <w:sz w:val="20"/>
        </w:rPr>
      </w:pPr>
    </w:p>
    <w:p w:rsidR="00AF15C6" w:rsidRPr="00AF15C6" w:rsidRDefault="00AF15C6" w:rsidP="00AF15C6">
      <w:pPr>
        <w:pStyle w:val="Prrafodelista"/>
        <w:widowControl/>
        <w:numPr>
          <w:ilvl w:val="0"/>
          <w:numId w:val="6"/>
        </w:numPr>
        <w:suppressAutoHyphens w:val="0"/>
        <w:ind w:left="1134" w:hanging="567"/>
        <w:jc w:val="both"/>
        <w:rPr>
          <w:rFonts w:ascii="Tahoma" w:hAnsi="Tahoma" w:cs="Tahoma"/>
          <w:sz w:val="20"/>
        </w:rPr>
      </w:pPr>
      <w:r w:rsidRPr="00AF15C6">
        <w:rPr>
          <w:rFonts w:ascii="Tahoma" w:hAnsi="Tahoma" w:cs="Tahoma"/>
          <w:sz w:val="20"/>
        </w:rPr>
        <w:t>A efectos de graduar la sanción, solicitó a este colegiado tener en cuenta su falta de intencionalidad en presentar el documento con información inexacta, así como no tener antecedentes de sanciones previas y haber reconocido la infracción cometida así como haber presentado sus descargos oportunamente.</w:t>
      </w:r>
    </w:p>
    <w:p w:rsidR="00AF15C6" w:rsidRPr="00AF15C6" w:rsidRDefault="00AF15C6" w:rsidP="00AF15C6">
      <w:pPr>
        <w:spacing w:line="240" w:lineRule="auto"/>
        <w:ind w:left="284" w:hanging="284"/>
        <w:jc w:val="both"/>
        <w:rPr>
          <w:rFonts w:ascii="Tahoma" w:hAnsi="Tahoma" w:cs="Tahoma"/>
          <w:sz w:val="20"/>
          <w:szCs w:val="20"/>
        </w:rPr>
      </w:pP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Con decreto de fecha 07 de octubre de 2008, se tuvo por apersonado al Postor y se remitió el expediente a la Tercera Sala del Tribunal para que emita pronunciamiento.</w:t>
      </w:r>
    </w:p>
    <w:p w:rsidR="00AF15C6" w:rsidRPr="00AF15C6" w:rsidRDefault="00AF15C6" w:rsidP="00AF15C6">
      <w:pPr>
        <w:spacing w:line="240" w:lineRule="auto"/>
        <w:ind w:left="284" w:hanging="284"/>
        <w:jc w:val="both"/>
        <w:rPr>
          <w:rFonts w:ascii="Tahoma" w:hAnsi="Tahoma" w:cs="Tahoma"/>
          <w:sz w:val="20"/>
          <w:szCs w:val="20"/>
        </w:rPr>
      </w:pP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t>Mediante decreto de fecha 17 de enero de 2011, en virtud a que con Resolución Nº 190-2010-OSCE/PRE  de fecha 29 de marzo de 2010 se reconformó las cuatro salas del Tribunal, se dispuso reasignar y remitir el presente expediente a la Primera Sala del a efectos que emita pronunciamiento.</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numPr>
          <w:ilvl w:val="0"/>
          <w:numId w:val="5"/>
        </w:numPr>
        <w:spacing w:after="0" w:line="240" w:lineRule="auto"/>
        <w:ind w:left="284" w:hanging="284"/>
        <w:jc w:val="both"/>
        <w:rPr>
          <w:rFonts w:ascii="Tahoma" w:hAnsi="Tahoma" w:cs="Tahoma"/>
          <w:sz w:val="20"/>
          <w:szCs w:val="20"/>
        </w:rPr>
      </w:pPr>
      <w:r w:rsidRPr="00AF15C6">
        <w:rPr>
          <w:rFonts w:ascii="Tahoma" w:hAnsi="Tahoma" w:cs="Tahoma"/>
          <w:sz w:val="20"/>
          <w:szCs w:val="20"/>
        </w:rPr>
        <w:lastRenderedPageBreak/>
        <w:t>Con decreto de fecha 18 de febrero de 2011, se programó audiencia pública para el día 24 de febrero de 2011. Dicha diligencia no se llevo a cabo por ausencia de las partes.</w:t>
      </w:r>
    </w:p>
    <w:p w:rsidR="00AF15C6" w:rsidRPr="00AF15C6" w:rsidRDefault="00AF15C6" w:rsidP="00AF15C6">
      <w:pPr>
        <w:pStyle w:val="Prrafodelista"/>
        <w:ind w:left="567"/>
        <w:jc w:val="both"/>
        <w:rPr>
          <w:rFonts w:ascii="Tahoma" w:hAnsi="Tahoma" w:cs="Tahoma"/>
          <w:sz w:val="20"/>
          <w:lang w:val="es-ES"/>
        </w:rPr>
      </w:pPr>
    </w:p>
    <w:p w:rsidR="00AF15C6" w:rsidRPr="00AF15C6" w:rsidRDefault="00AF15C6" w:rsidP="00AF15C6">
      <w:pPr>
        <w:tabs>
          <w:tab w:val="num" w:pos="9720"/>
        </w:tabs>
        <w:spacing w:after="0" w:line="240" w:lineRule="auto"/>
        <w:jc w:val="both"/>
        <w:rPr>
          <w:rFonts w:ascii="Tahoma" w:hAnsi="Tahoma" w:cs="Tahoma"/>
          <w:b/>
          <w:sz w:val="20"/>
          <w:szCs w:val="20"/>
        </w:rPr>
      </w:pPr>
      <w:r w:rsidRPr="00AF15C6">
        <w:rPr>
          <w:rFonts w:ascii="Tahoma" w:hAnsi="Tahoma" w:cs="Tahoma"/>
          <w:b/>
          <w:sz w:val="20"/>
          <w:szCs w:val="20"/>
        </w:rPr>
        <w:t>FUNDAMENTACIÓN:</w:t>
      </w:r>
    </w:p>
    <w:p w:rsidR="00AF15C6" w:rsidRDefault="00AF15C6" w:rsidP="00AF15C6">
      <w:pPr>
        <w:spacing w:line="240" w:lineRule="auto"/>
        <w:jc w:val="both"/>
        <w:rPr>
          <w:rFonts w:ascii="Tahoma" w:hAnsi="Tahoma" w:cs="Tahoma"/>
          <w:b/>
          <w:bCs/>
          <w:sz w:val="20"/>
          <w:szCs w:val="20"/>
          <w:u w:val="single"/>
        </w:rPr>
      </w:pPr>
    </w:p>
    <w:p w:rsidR="00AF15C6" w:rsidRPr="00AF15C6" w:rsidRDefault="00AF15C6" w:rsidP="00AF15C6">
      <w:pPr>
        <w:spacing w:line="240" w:lineRule="auto"/>
        <w:jc w:val="both"/>
        <w:rPr>
          <w:rFonts w:ascii="Tahoma" w:hAnsi="Tahoma" w:cs="Tahoma"/>
          <w:b/>
          <w:bCs/>
          <w:sz w:val="20"/>
          <w:szCs w:val="20"/>
        </w:rPr>
      </w:pPr>
      <w:r w:rsidRPr="00AF15C6">
        <w:rPr>
          <w:rFonts w:ascii="Tahoma" w:hAnsi="Tahoma" w:cs="Tahoma"/>
          <w:b/>
          <w:bCs/>
          <w:sz w:val="20"/>
          <w:szCs w:val="20"/>
          <w:u w:val="single"/>
        </w:rPr>
        <w:t>De la Competencia del Tribunal de Contrataciones del Estado</w:t>
      </w:r>
    </w:p>
    <w:p w:rsidR="00AF15C6" w:rsidRPr="00AF15C6" w:rsidRDefault="00AF15C6" w:rsidP="00AF15C6">
      <w:pPr>
        <w:pStyle w:val="Textonotapie"/>
        <w:rPr>
          <w:b/>
          <w:bCs/>
          <w:lang w:val="es-MX"/>
        </w:rPr>
      </w:pPr>
      <w:r w:rsidRPr="00AF15C6">
        <w:rPr>
          <w:b/>
          <w:bCs/>
          <w:lang w:val="es-MX"/>
        </w:rPr>
        <w:tab/>
      </w:r>
    </w:p>
    <w:p w:rsidR="00AF15C6" w:rsidRPr="00AF15C6" w:rsidRDefault="00AF15C6" w:rsidP="00AF15C6">
      <w:pPr>
        <w:numPr>
          <w:ilvl w:val="0"/>
          <w:numId w:val="7"/>
        </w:numPr>
        <w:spacing w:after="0" w:line="240" w:lineRule="auto"/>
        <w:ind w:left="284" w:hanging="284"/>
        <w:jc w:val="both"/>
        <w:rPr>
          <w:rFonts w:ascii="Tahoma" w:hAnsi="Tahoma" w:cs="Tahoma"/>
          <w:sz w:val="20"/>
          <w:szCs w:val="20"/>
          <w:lang w:val="es-MX"/>
        </w:rPr>
      </w:pPr>
      <w:r w:rsidRPr="00AF15C6">
        <w:rPr>
          <w:rFonts w:ascii="Tahoma" w:hAnsi="Tahoma" w:cs="Tahoma"/>
          <w:sz w:val="20"/>
          <w:szCs w:val="20"/>
        </w:rPr>
        <w:t>El numeral 1 del artículo 235 de la Ley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AF15C6" w:rsidRDefault="00AF15C6" w:rsidP="00AF15C6">
      <w:pPr>
        <w:spacing w:after="0" w:line="240" w:lineRule="auto"/>
        <w:ind w:left="284" w:hanging="284"/>
        <w:jc w:val="both"/>
        <w:rPr>
          <w:rFonts w:ascii="Tahoma" w:hAnsi="Tahoma" w:cs="Tahoma"/>
          <w:sz w:val="20"/>
          <w:szCs w:val="20"/>
        </w:rPr>
      </w:pPr>
    </w:p>
    <w:p w:rsidR="00AF15C6" w:rsidRPr="00AF15C6" w:rsidRDefault="00AF15C6" w:rsidP="00AF15C6">
      <w:pPr>
        <w:numPr>
          <w:ilvl w:val="0"/>
          <w:numId w:val="7"/>
        </w:numPr>
        <w:spacing w:after="0" w:line="240" w:lineRule="auto"/>
        <w:ind w:left="284" w:hanging="284"/>
        <w:jc w:val="both"/>
        <w:rPr>
          <w:rFonts w:ascii="Tahoma" w:hAnsi="Tahoma" w:cs="Tahoma"/>
          <w:sz w:val="20"/>
          <w:szCs w:val="20"/>
        </w:rPr>
      </w:pPr>
      <w:r w:rsidRPr="00AF15C6">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 Texto Único Ordenado de la Ley de Contrataciones y Adquisiciones del Estado), a los proveedores, participantes, postores, contratistas y entidades, según corresponda, por infracciones a las disposiciones contenidas en la Ley y el presente Reglamento.</w:t>
      </w:r>
    </w:p>
    <w:p w:rsidR="00AF15C6" w:rsidRDefault="00AF15C6" w:rsidP="00AF15C6">
      <w:pPr>
        <w:spacing w:line="240" w:lineRule="auto"/>
        <w:ind w:left="284" w:hanging="284"/>
        <w:jc w:val="both"/>
        <w:rPr>
          <w:rFonts w:ascii="Tahoma" w:hAnsi="Tahoma" w:cs="Tahoma"/>
          <w:b/>
          <w:bCs/>
          <w:sz w:val="20"/>
          <w:szCs w:val="20"/>
          <w:u w:val="single"/>
        </w:rPr>
      </w:pPr>
    </w:p>
    <w:p w:rsidR="00AF15C6" w:rsidRDefault="00AF15C6" w:rsidP="00AF15C6">
      <w:pPr>
        <w:spacing w:line="240" w:lineRule="auto"/>
        <w:ind w:left="284" w:hanging="284"/>
        <w:jc w:val="both"/>
        <w:rPr>
          <w:rFonts w:ascii="Tahoma" w:hAnsi="Tahoma" w:cs="Tahoma"/>
          <w:sz w:val="20"/>
          <w:szCs w:val="20"/>
        </w:rPr>
      </w:pPr>
      <w:r w:rsidRPr="00AF15C6">
        <w:rPr>
          <w:rFonts w:ascii="Tahoma" w:hAnsi="Tahoma" w:cs="Tahoma"/>
          <w:b/>
          <w:bCs/>
          <w:sz w:val="20"/>
          <w:szCs w:val="20"/>
          <w:u w:val="single"/>
        </w:rPr>
        <w:t>Del Procedimiento Sancionador</w:t>
      </w:r>
      <w:r w:rsidRPr="00AF15C6">
        <w:rPr>
          <w:rFonts w:ascii="Tahoma" w:hAnsi="Tahoma" w:cs="Tahoma"/>
          <w:sz w:val="20"/>
          <w:szCs w:val="20"/>
        </w:rPr>
        <w:t>.</w:t>
      </w:r>
    </w:p>
    <w:p w:rsidR="00AF15C6" w:rsidRP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t xml:space="preserve">El presente procedimiento administrativo sancionador está referido a la supuesta responsabilidad de </w:t>
      </w:r>
      <w:r w:rsidRPr="00AF15C6">
        <w:rPr>
          <w:rFonts w:ascii="Tahoma" w:hAnsi="Tahoma" w:cs="Tahoma"/>
          <w:sz w:val="20"/>
          <w:lang w:val="es-PE"/>
        </w:rPr>
        <w:t xml:space="preserve">la empresa </w:t>
      </w:r>
      <w:r w:rsidRPr="00AF15C6">
        <w:rPr>
          <w:rFonts w:ascii="Tahoma" w:hAnsi="Tahoma" w:cs="Tahoma"/>
          <w:sz w:val="20"/>
        </w:rPr>
        <w:t>REPRESENTACIONES MEDICAS M&amp;M E.I.R.L. por presentar documentos falsos o información inexacta durante la Adjudicación Directa Selectiva N.º 019-2008/INGEMMET/OA-UL</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t>En ese sentido, considerando el momento de la producción de los hechos materia de imputación, la determinación de la presente infracción administrativa debe ser analizada de conformidad con el Texto Único Ordenado de la Ley de Contrataciones y Adquisiciones del Estado y su Reglamento, aprobado mediante Decreto Supremo Nº 083-2004-PCM y Nº 084-2004-PCM, en lo sucesivo la Ley y el Reglamento, respectivamente.</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t>Al respecto, la infracción imputada al Postor corresponde a la señalada en el numeral 9) del artículo 294 del Reglamento, la cual se configura con la sola presentación de documentos falsos y/o inexactos ante la Entidad; es decir con la sola afectación del Principio de Presunción de Veracidad</w:t>
      </w:r>
      <w:r w:rsidRPr="00AF15C6">
        <w:rPr>
          <w:rStyle w:val="Refdenotaalpie"/>
          <w:rFonts w:ascii="Tahoma" w:hAnsi="Tahoma" w:cs="Tahoma"/>
          <w:sz w:val="20"/>
        </w:rPr>
        <w:footnoteReference w:id="2"/>
      </w:r>
      <w:r w:rsidRPr="00AF15C6">
        <w:rPr>
          <w:rFonts w:ascii="Tahoma" w:hAnsi="Tahoma" w:cs="Tahoma"/>
          <w:sz w:val="20"/>
        </w:rPr>
        <w:t xml:space="preserve"> consagrado en el acápite 1.7 del Artículo IV del Título Preliminar de la Ley Nº 27444, del Procedimiento Administrativo General, sin que la norma exija otros factores adicionales, por cuanto la Administración Pública presume que todos los documentos y declaraciones formuladas por los administrados responden a la verdad de los hechos que ellos afirman. </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lastRenderedPageBreak/>
        <w:t xml:space="preserve">Asimismo, </w:t>
      </w:r>
      <w:r w:rsidRPr="00AF15C6">
        <w:rPr>
          <w:rFonts w:ascii="Tahoma" w:hAnsi="Tahoma" w:cs="Tahoma"/>
          <w:sz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AF15C6">
        <w:rPr>
          <w:rFonts w:ascii="Tahoma" w:hAnsi="Tahoma" w:cs="Tahoma"/>
          <w:b/>
          <w:bCs/>
          <w:sz w:val="20"/>
          <w:lang w:val="es-MX"/>
        </w:rPr>
        <w:t>se presumen verificados por quien hace uso de ellos, así como de contenido veraz para fines del procedimiento administrativo</w:t>
      </w:r>
      <w:r w:rsidRPr="00AF15C6">
        <w:rPr>
          <w:rFonts w:ascii="Tahoma" w:hAnsi="Tahoma" w:cs="Tahoma"/>
          <w:sz w:val="20"/>
          <w:lang w:val="es-MX"/>
        </w:rPr>
        <w:t xml:space="preserve">. Sin embargo, esta presunción es de índole </w:t>
      </w:r>
      <w:r w:rsidRPr="00AF15C6">
        <w:rPr>
          <w:rFonts w:ascii="Tahoma" w:hAnsi="Tahoma" w:cs="Tahoma"/>
          <w:i/>
          <w:iCs/>
          <w:sz w:val="20"/>
          <w:lang w:val="es-MX"/>
        </w:rPr>
        <w:t>juris tantum</w:t>
      </w:r>
      <w:r w:rsidRPr="00AF15C6">
        <w:rPr>
          <w:rFonts w:ascii="Tahoma" w:hAnsi="Tahoma" w:cs="Tahoma"/>
          <w:sz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t xml:space="preserve">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 </w:t>
      </w:r>
    </w:p>
    <w:p w:rsidR="00AF15C6" w:rsidRPr="00AF15C6" w:rsidRDefault="00AF15C6" w:rsidP="00AF15C6">
      <w:pPr>
        <w:pStyle w:val="Prrafodelista"/>
        <w:ind w:left="284" w:hanging="284"/>
        <w:jc w:val="both"/>
        <w:rPr>
          <w:rFonts w:ascii="Tahoma" w:hAnsi="Tahoma" w:cs="Tahoma"/>
          <w:sz w:val="20"/>
          <w:lang w:val="es-PE"/>
        </w:rPr>
      </w:pPr>
    </w:p>
    <w:p w:rsidR="00AF15C6" w:rsidRPr="00AF15C6" w:rsidRDefault="00AF15C6" w:rsidP="00AF15C6">
      <w:pPr>
        <w:pStyle w:val="Prrafodelista"/>
        <w:ind w:left="284"/>
        <w:jc w:val="both"/>
        <w:rPr>
          <w:rFonts w:ascii="Tahoma" w:hAnsi="Tahoma" w:cs="Tahoma"/>
          <w:sz w:val="20"/>
        </w:rPr>
      </w:pPr>
      <w:r w:rsidRPr="00AF15C6">
        <w:rPr>
          <w:rFonts w:ascii="Tahoma" w:hAnsi="Tahoma" w:cs="Tahoma"/>
          <w:sz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AF15C6">
        <w:rPr>
          <w:rFonts w:ascii="Tahoma" w:hAnsi="Tahoma" w:cs="Tahoma"/>
          <w:i/>
          <w:iCs/>
          <w:sz w:val="20"/>
          <w:lang w:val="es-PE"/>
        </w:rPr>
        <w:t>Principios de Moralidad</w:t>
      </w:r>
      <w:r w:rsidRPr="00AF15C6">
        <w:rPr>
          <w:rFonts w:ascii="Tahoma" w:hAnsi="Tahoma" w:cs="Tahoma"/>
          <w:sz w:val="20"/>
          <w:lang w:val="es-PE"/>
        </w:rPr>
        <w:t xml:space="preserve"> y de P</w:t>
      </w:r>
      <w:r w:rsidRPr="00AF15C6">
        <w:rPr>
          <w:rFonts w:ascii="Tahoma" w:hAnsi="Tahoma" w:cs="Tahoma"/>
          <w:i/>
          <w:iCs/>
          <w:sz w:val="20"/>
          <w:lang w:val="es-PE"/>
        </w:rPr>
        <w:t>resunción de Veracidad.</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ind w:left="284" w:hanging="284"/>
        <w:jc w:val="both"/>
        <w:rPr>
          <w:rFonts w:ascii="Tahoma" w:hAnsi="Tahoma" w:cs="Tahoma"/>
          <w:b/>
          <w:bCs/>
          <w:sz w:val="20"/>
          <w:u w:val="single"/>
        </w:rPr>
      </w:pPr>
      <w:r w:rsidRPr="00AF15C6">
        <w:rPr>
          <w:rFonts w:ascii="Tahoma" w:hAnsi="Tahoma" w:cs="Tahoma"/>
          <w:b/>
          <w:bCs/>
          <w:sz w:val="20"/>
          <w:u w:val="single"/>
        </w:rPr>
        <w:t>Del Análisis de los hechos materia de denuncia</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t xml:space="preserve">En el caso materia de análisis, la imputación formulada contra el postor,  está referida a la inexactitud de la Declaración Jurada de Bienes elaborados en territorio nacional de fecha 13 de junio de 2008, en la que por medio de su titular, manifestó </w:t>
      </w:r>
      <w:r w:rsidRPr="00AF15C6">
        <w:rPr>
          <w:rFonts w:ascii="Tahoma" w:hAnsi="Tahoma" w:cs="Tahoma"/>
          <w:b/>
          <w:bCs/>
          <w:i/>
          <w:iCs/>
          <w:sz w:val="20"/>
        </w:rPr>
        <w:t>“(…)que nuestra representada ofrece bienes objeto de convocatoria que son elaborados dentro del territorio nacional</w:t>
      </w:r>
      <w:r w:rsidRPr="00AF15C6">
        <w:rPr>
          <w:rFonts w:ascii="Tahoma" w:hAnsi="Tahoma" w:cs="Tahoma"/>
          <w:b/>
          <w:bCs/>
          <w:i/>
          <w:iCs/>
          <w:sz w:val="20"/>
          <w:u w:val="single"/>
        </w:rPr>
        <w:t>,</w:t>
      </w:r>
      <w:r w:rsidRPr="00AF15C6">
        <w:rPr>
          <w:rFonts w:ascii="Tahoma" w:hAnsi="Tahoma" w:cs="Tahoma"/>
          <w:b/>
          <w:bCs/>
          <w:i/>
          <w:iCs/>
          <w:sz w:val="20"/>
        </w:rPr>
        <w:t xml:space="preserve"> en los términos de la Ley N.º 27633, Ley de Promoción Temporal del Desarrollo Productivo Nacional, el Decreto Supremo N.º 003-2001-PCM, y demás normas complementarias”.</w:t>
      </w:r>
    </w:p>
    <w:p w:rsidR="00AF15C6" w:rsidRPr="00AF15C6" w:rsidRDefault="00AF15C6" w:rsidP="00AF15C6">
      <w:pPr>
        <w:pStyle w:val="Prrafodelista"/>
        <w:ind w:left="284" w:hanging="284"/>
        <w:jc w:val="both"/>
        <w:rPr>
          <w:rFonts w:ascii="Tahoma" w:hAnsi="Tahoma" w:cs="Tahoma"/>
          <w:sz w:val="20"/>
        </w:rPr>
      </w:pPr>
    </w:p>
    <w:p w:rsidR="00AF15C6" w:rsidRDefault="00AF15C6" w:rsidP="00AF15C6">
      <w:pPr>
        <w:pStyle w:val="Prrafodelista"/>
        <w:widowControl/>
        <w:numPr>
          <w:ilvl w:val="0"/>
          <w:numId w:val="7"/>
        </w:numPr>
        <w:suppressAutoHyphens w:val="0"/>
        <w:ind w:left="284" w:hanging="284"/>
        <w:jc w:val="both"/>
        <w:rPr>
          <w:rFonts w:ascii="Tahoma" w:hAnsi="Tahoma" w:cs="Tahoma"/>
          <w:sz w:val="20"/>
        </w:rPr>
      </w:pPr>
      <w:r w:rsidRPr="00AF15C6">
        <w:rPr>
          <w:rFonts w:ascii="Tahoma" w:hAnsi="Tahoma" w:cs="Tahoma"/>
          <w:sz w:val="20"/>
        </w:rPr>
        <w:t>Cabe señalar que este Tribunal tomó conocimiento de los hechos materia de imputación a través del recurso de apelación interpuesto por la empresa MEGA MEDICAL  S.A.C.  En su reclamación, el citado Impugnante alegó que diversos productos ofertados por REPRESENTACIONES MEDICAS provienen del extranjero, tales como Atural (Uruguay), Bisturí N.º 20 (China), Curitas (Colombia), Dayflu (Colombia), Diclofenaco gel (Colombia), Migradorixina (Colombia), Plidan Compuesto (Colombia); razón por la cual consideró que la Declaración Jurada en la que manifiesta que oferta productos de origen nacional contiene información inexacta que indujo a error al Comité Especial, quien le asignó indebidamente la bonificación del 20% adicional sobre la sumatoria de su puntaje final.  En tal sentido, agregó que el referido postor presentó el Registro Sanitario del diclofenaco gel emitido a favor de Laboratorios Genfar, en el que se precisa que dicho medicamento es elaborado en el extranjero, razón por la cual debía ser descalificado al haber faltado a la verdad.</w:t>
      </w:r>
    </w:p>
    <w:p w:rsidR="00AF15C6" w:rsidRPr="00AF15C6" w:rsidRDefault="00AF15C6" w:rsidP="00AF15C6">
      <w:pPr>
        <w:pStyle w:val="Prrafodelista"/>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 xml:space="preserve">Sobre el particular, cabe indicar que </w:t>
      </w:r>
      <w:r w:rsidRPr="00AF15C6">
        <w:rPr>
          <w:rFonts w:ascii="Tahoma" w:hAnsi="Tahoma" w:cs="Tahoma"/>
          <w:sz w:val="20"/>
          <w:lang w:val="es-PE"/>
        </w:rPr>
        <w:t xml:space="preserve">la Ley N.° 27633, que modificó la Ley N.° 27143, Ley de Promoción Temporal del Desarrollo Productivo Nacional (modificada anteriormente por los Decretos de Urgencia N.° 064-2000 y N.° 083-2001), dispuso que, para la aplicación del artículo 31 de la Ley de Contrataciones y Adquisiciones del Estado-Ley N.º 26850, en la evaluación y calificación de propuestas y subsiguiente otorgamiento de la buena pro en los procesos de selección, debía agregarse un 20% adicional a la sumatoria de la calificación técnica y económica de las propuestas de </w:t>
      </w:r>
      <w:r w:rsidRPr="00AF15C6">
        <w:rPr>
          <w:rFonts w:ascii="Tahoma" w:hAnsi="Tahoma" w:cs="Tahoma"/>
          <w:sz w:val="20"/>
          <w:lang w:val="es-PE"/>
        </w:rPr>
        <w:lastRenderedPageBreak/>
        <w:t>bienes y servicios elaborados o prestados dentro del territorio nacional, conforme al Reglamento de la materia.</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lang w:val="es-PE"/>
        </w:rPr>
        <w:t>Por su parte, el Decreto Supremo N.° 003-2001-PCM, que reglamentó la precitada Ley de Promoción Temporal del Desarrollo Productivo Nacional, dispuso en su artículo 3 que en la declaración jurada a que se refiere el artículo 33 del Reglamento de la Ley N.° 26850 (sustituido por el artículo 76 del Reglamento de la Ley de Contrataciones y Adquisiciones del Estado, aprobado por Decreto Supremo N.° 084-2004-PCM), el postor podrá manifestar que los bienes y servicios ofrecidos han sido elaborados o prestados dentro del territorio nacional, de conformidad con las disposiciones establecidas en el Reglamento, a fin de acceder a la señalada bonificación.</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La vigencia de las anteriores disposiciones fue reiterada por el CONSUCODE (hoy OSCE) a través de sus Comunicados N.º 014-2001 (PRE) y N.º 015-2001 (PRE), así por sendos pronunciamientos de este Tribunal en el sentido que la bonificación del veinte por ciento (20%) era aplicable aún cuando no haya sido prevista en las Bases ni haya sido solicitada por los postores beneficiarios, y siempre que dichos postores hayan presentado la Declaración Jurada antes mencionada en la que señalen que el bien o servicio ha sido elaborado o prestado dentro del territorio.</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 xml:space="preserve">Ahora bien, respecto a los hechos denunciados, este Colegiado advierte que el Postor presentó la Declaración Jurada de Bienes Elaborados dentro del Territorio Nacional, mediante la cual señaló que </w:t>
      </w:r>
      <w:r w:rsidR="00135D85">
        <w:rPr>
          <w:rFonts w:ascii="Tahoma" w:hAnsi="Tahoma" w:cs="Tahoma"/>
          <w:b/>
          <w:bCs/>
          <w:sz w:val="20"/>
        </w:rPr>
        <w:t>“</w:t>
      </w:r>
      <w:r w:rsidRPr="00AF15C6">
        <w:rPr>
          <w:rFonts w:ascii="Tahoma" w:hAnsi="Tahoma" w:cs="Tahoma"/>
          <w:b/>
          <w:bCs/>
          <w:sz w:val="20"/>
        </w:rPr>
        <w:t>nuestra representada oferta bienes objeto de convocatoria elaborados dentro del territorio nacional, en los términos de la Ley Nº 27633”</w:t>
      </w:r>
      <w:r w:rsidRPr="00AF15C6">
        <w:rPr>
          <w:rFonts w:ascii="Tahoma" w:hAnsi="Tahoma" w:cs="Tahoma"/>
          <w:sz w:val="20"/>
        </w:rPr>
        <w:t>.</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En este punto, corresponde señalar conforme se ha indicado en anteriores pronunciamientos de éste Colegiado que, la normativa general ha establecido el Principio de Presunción de Veracidad  según el cual “</w:t>
      </w:r>
      <w:r w:rsidRPr="00AF15C6">
        <w:rPr>
          <w:rFonts w:ascii="Tahoma" w:hAnsi="Tahoma" w:cs="Tahoma"/>
          <w:i/>
          <w:iCs/>
          <w:sz w:val="20"/>
        </w:rPr>
        <w:t xml:space="preserve">Todas las declaraciones juradas, los documentos sucedáneos presentados y la información incluida en los escritos y formularios que presenten los administrados para la realización de procedimientos administrativos se presumen verificados por quienes hacen uso de ellos, así como de contenido veraz para fines administrativos, </w:t>
      </w:r>
      <w:r w:rsidRPr="00AF15C6">
        <w:rPr>
          <w:rFonts w:ascii="Tahoma" w:hAnsi="Tahoma" w:cs="Tahoma"/>
          <w:i/>
          <w:iCs/>
          <w:sz w:val="20"/>
          <w:u w:val="single"/>
        </w:rPr>
        <w:t>salvo prueba en contrario”,</w:t>
      </w:r>
      <w:r w:rsidRPr="00AF15C6">
        <w:rPr>
          <w:rFonts w:ascii="Tahoma" w:hAnsi="Tahoma" w:cs="Tahoma"/>
          <w:sz w:val="20"/>
        </w:rPr>
        <w:t xml:space="preserve"> este debe aplicarse en conexión con los otros principios que recoge la ley 27444, en especial el Principio de Verdad Material, el que indica lo siguiente: “</w:t>
      </w:r>
      <w:r w:rsidRPr="00AF15C6">
        <w:rPr>
          <w:rFonts w:ascii="Tahoma" w:hAnsi="Tahoma" w:cs="Tahoma"/>
          <w:i/>
          <w:iCs/>
          <w:sz w:val="20"/>
        </w:rPr>
        <w:t>En el procedimiento, la autoridad administrativa competente deberá verificar plenamente los hechos que sirven de motivo a sus decisiones, para lo cual deberá adoptar todas las medidas probatorias  necesarias autorizadas por la Ley, aun cuando no hayan sido propuestas por los administrados o hayan acordado eximirse de ellas (…)”.</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En virtud a lo antes expuesto, y de acuerdo al análisis del Registro Sanitario obrante en su oferta técnica (Resolución Directoral N.º 3858-SS/DIGEMID/DERD/DR), se puede evidenciar que el producto Diclofenaco 1% Emulsión Gel, ha sido elaborado por Genfar S.A. de Colombia; así como el rotulado de las Venditas de la marca Cureband, fabricadas en Colombia por Adhesivos Internacionales S.A.  Asimismo, de acuerdo a los elementos probatorios aportados por MEGA MEDICAL, también el producto Plidan Compuesto NF, manufacturado por Roemmers S.A., proviene del extranjero (Uruguay).</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 xml:space="preserve">En ese contexto, es posible colegir que el Postor proporcionó a la Entidad información inexacta a fin de inducir a error al Comité Especial y beneficiarse indebidamente con la con la Bonificación del 20% por Bienes Elaborados en Territorio Nacional, puesto que  </w:t>
      </w:r>
      <w:r w:rsidRPr="00AF15C6">
        <w:rPr>
          <w:rFonts w:ascii="Tahoma" w:hAnsi="Tahoma" w:cs="Tahoma"/>
          <w:sz w:val="20"/>
        </w:rPr>
        <w:lastRenderedPageBreak/>
        <w:t>no todos los bienes ofertados han sido elaborados en  territorio nacional. Dicha situación, conforme a lo anotado en los párrafos anteriores, ha quedado debidamente demostrado en el procedimiento, a partir de la valoración que ha efectuado éste Colegiado de los documentos ofrecidos que obran en el expediente y valorados al momento de emitir la Resolución Nº 2102-2008-TC-S1 de fecha 24 de julio de 2008.</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lang w:val="es-PE"/>
        </w:rPr>
        <w:t>De esta manera, la conducta consistente en incluir información inexacta dentro de sus propuestas supone de parte de los postores el quebrantamiento del Principio de Presunción de Veracidad que ampara a la totalidad de declaraciones y documentos que forman parte de su oferta, así como una contravención al Principio de Moralidad que rige las Contrataciones Estatales y bajo el cual ésta deben caracterizarse por la honradez, veracidad, intangibilidad, justicia y probidad.</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lang w:val="es-PE"/>
        </w:rPr>
        <w:t xml:space="preserve">En efecto, </w:t>
      </w:r>
      <w:r w:rsidRPr="00AF15C6">
        <w:rPr>
          <w:rFonts w:ascii="Tahoma" w:hAnsi="Tahoma" w:cs="Tahoma"/>
          <w:sz w:val="20"/>
        </w:rPr>
        <w:t>tanto la Ley Nº 27444</w:t>
      </w:r>
      <w:r w:rsidRPr="00AF15C6">
        <w:rPr>
          <w:rFonts w:ascii="Tahoma" w:hAnsi="Tahoma" w:cs="Tahoma"/>
          <w:sz w:val="20"/>
          <w:vertAlign w:val="superscript"/>
        </w:rPr>
        <w:footnoteReference w:id="3"/>
      </w:r>
      <w:r w:rsidRPr="00AF15C6">
        <w:rPr>
          <w:rFonts w:ascii="Tahoma" w:hAnsi="Tahoma" w:cs="Tahoma"/>
          <w:sz w:val="20"/>
        </w:rPr>
        <w:t>, como el Reglamento</w:t>
      </w:r>
      <w:r w:rsidRPr="00AF15C6">
        <w:rPr>
          <w:rFonts w:ascii="Tahoma" w:hAnsi="Tahoma" w:cs="Tahoma"/>
          <w:sz w:val="20"/>
          <w:vertAlign w:val="superscript"/>
        </w:rPr>
        <w:footnoteReference w:id="4"/>
      </w:r>
      <w:r w:rsidRPr="00AF15C6">
        <w:rPr>
          <w:rFonts w:ascii="Tahoma" w:hAnsi="Tahoma" w:cs="Tahoma"/>
          <w:sz w:val="20"/>
        </w:rPr>
        <w:t xml:space="preserve"> han establecido que la responsabilidad por la presentación de documentos falsos o inexactos corresponde al administrado que lo presentó en el trámite del procedimiento administrativo. En el mismo sentido, el numeral 9 del artículo 294 del Reglamento considera autor de la infracción al proveedor que presenta </w:t>
      </w:r>
      <w:r w:rsidRPr="00AF15C6">
        <w:rPr>
          <w:rFonts w:ascii="Tahoma" w:hAnsi="Tahoma" w:cs="Tahoma"/>
          <w:sz w:val="20"/>
          <w:lang w:val="es-PE"/>
        </w:rPr>
        <w:t>documentos falsos o inexactos</w:t>
      </w:r>
      <w:r w:rsidRPr="00AF15C6">
        <w:rPr>
          <w:rFonts w:ascii="Tahoma" w:hAnsi="Tahoma" w:cs="Tahoma"/>
          <w:sz w:val="20"/>
        </w:rPr>
        <w:t xml:space="preserve"> a las Entidades o al CONSUCODE. (actualmente OSCE).</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Por otro lado, debe señalarse que en sus descargos presentados, el Postor reconoció que por error se señaló que los productos ofertados eran de origen nacional, pues no se tuvo la intención de causar daño alguno, ni mucho menos inducir en error al Comité Especial.</w:t>
      </w:r>
    </w:p>
    <w:p w:rsidR="00AF15C6" w:rsidRPr="00AF15C6" w:rsidRDefault="00AF15C6" w:rsidP="00AF15C6">
      <w:pPr>
        <w:pStyle w:val="Prrafodelista"/>
        <w:ind w:left="284" w:hanging="284"/>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 xml:space="preserve">De lo señalado con anterioridad, se puede concluir que el Postor presentó documentos inexactos; con lo cual, queda evidenciado, de todo lo anteriormente expresado, la </w:t>
      </w:r>
      <w:r w:rsidRPr="00AF15C6">
        <w:rPr>
          <w:rFonts w:ascii="Tahoma" w:hAnsi="Tahoma" w:cs="Tahoma"/>
          <w:i/>
          <w:iCs/>
          <w:sz w:val="20"/>
        </w:rPr>
        <w:t>trasgresión al Principio de Presunción de Veracidad</w:t>
      </w:r>
      <w:r w:rsidRPr="00AF15C6">
        <w:rPr>
          <w:rFonts w:ascii="Tahoma" w:hAnsi="Tahoma" w:cs="Tahoma"/>
          <w:sz w:val="20"/>
        </w:rPr>
        <w:t xml:space="preserve"> en la que incurrió la empresa Contratista.</w:t>
      </w:r>
    </w:p>
    <w:p w:rsidR="00AF15C6" w:rsidRPr="00AF15C6" w:rsidRDefault="00AF15C6" w:rsidP="00AF15C6">
      <w:pPr>
        <w:pStyle w:val="Prrafodelista"/>
        <w:ind w:left="284" w:hanging="426"/>
        <w:jc w:val="both"/>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Teniendo en cuenta las consideraciones expuestas, corresponde imponer sanción administrativa a la contratista, al haber  incurrido en la causal de infracción tipificada en el numeral 9) del artículo 294 del Reglamento.</w:t>
      </w:r>
    </w:p>
    <w:p w:rsidR="00AF15C6" w:rsidRPr="00AF15C6" w:rsidRDefault="00AF15C6" w:rsidP="00AF15C6">
      <w:pPr>
        <w:pStyle w:val="Prrafodelista"/>
        <w:ind w:left="284" w:hanging="426"/>
        <w:jc w:val="both"/>
        <w:rPr>
          <w:rFonts w:ascii="Tahoma" w:hAnsi="Tahoma" w:cs="Tahoma"/>
          <w:sz w:val="20"/>
        </w:rPr>
      </w:pPr>
    </w:p>
    <w:p w:rsid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 xml:space="preserve">En relación a la graduación de la sanción imponible, el artículo 294 del Reglamento establece que los postores que presenten documentos falsos o inexactos serán sancionados con inhabilitación temporal para contratar con el Estado por un periodo no menor de tres (3) meses ni mayor de un (1) año. </w:t>
      </w:r>
    </w:p>
    <w:p w:rsidR="00AF15C6" w:rsidRPr="00AF15C6" w:rsidRDefault="00AF15C6" w:rsidP="00AF15C6">
      <w:pPr>
        <w:pStyle w:val="Prrafodelista"/>
        <w:ind w:left="284" w:hanging="426"/>
        <w:rPr>
          <w:rFonts w:ascii="Tahoma" w:hAnsi="Tahoma" w:cs="Tahoma"/>
          <w:sz w:val="20"/>
        </w:rPr>
      </w:pPr>
    </w:p>
    <w:p w:rsidR="00AF15C6" w:rsidRPr="00AF15C6" w:rsidRDefault="00AF15C6" w:rsidP="00AF15C6">
      <w:pPr>
        <w:pStyle w:val="Prrafodelista"/>
        <w:widowControl/>
        <w:numPr>
          <w:ilvl w:val="0"/>
          <w:numId w:val="7"/>
        </w:numPr>
        <w:suppressAutoHyphens w:val="0"/>
        <w:ind w:left="284" w:hanging="426"/>
        <w:jc w:val="both"/>
        <w:rPr>
          <w:rFonts w:ascii="Tahoma" w:hAnsi="Tahoma" w:cs="Tahoma"/>
          <w:sz w:val="20"/>
        </w:rPr>
      </w:pPr>
      <w:r w:rsidRPr="00AF15C6">
        <w:rPr>
          <w:rFonts w:ascii="Tahoma" w:hAnsi="Tahoma" w:cs="Tahoma"/>
          <w:sz w:val="20"/>
        </w:rPr>
        <w:t>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w:t>
      </w:r>
    </w:p>
    <w:p w:rsidR="00135D85" w:rsidRDefault="00135D85" w:rsidP="00135D85">
      <w:pPr>
        <w:tabs>
          <w:tab w:val="left" w:pos="1080"/>
        </w:tabs>
        <w:spacing w:after="0" w:line="240" w:lineRule="auto"/>
        <w:ind w:left="284"/>
        <w:jc w:val="both"/>
        <w:rPr>
          <w:rFonts w:ascii="Tahoma" w:hAnsi="Tahoma" w:cs="Tahoma"/>
          <w:sz w:val="20"/>
          <w:szCs w:val="20"/>
        </w:rPr>
      </w:pPr>
    </w:p>
    <w:p w:rsid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Al respecto, debe tenerse en consideración el Principio de Razonabilidad</w:t>
      </w:r>
      <w:r w:rsidRPr="00AF15C6">
        <w:rPr>
          <w:rFonts w:ascii="Tahoma" w:hAnsi="Tahoma" w:cs="Tahoma"/>
          <w:i/>
          <w:iCs/>
          <w:sz w:val="20"/>
          <w:szCs w:val="20"/>
        </w:rPr>
        <w:t xml:space="preserve"> </w:t>
      </w:r>
      <w:r w:rsidRPr="00AF15C6">
        <w:rPr>
          <w:rFonts w:ascii="Tahoma" w:hAnsi="Tahoma" w:cs="Tahoma"/>
          <w:sz w:val="20"/>
          <w:szCs w:val="20"/>
        </w:rPr>
        <w:t xml:space="preserve">consagrado en el numeral 1.4 del Artículo IV del Título Preliminar de la Ley del Procedimiento Administrativo General, según el cual las decisiones de la Autoridad Administrativa que impongan sanciones o establezcan restricciones a los administrados deben adoptarse </w:t>
      </w:r>
      <w:r w:rsidRPr="00AF15C6">
        <w:rPr>
          <w:rFonts w:ascii="Tahoma" w:hAnsi="Tahoma" w:cs="Tahoma"/>
          <w:sz w:val="20"/>
          <w:szCs w:val="20"/>
        </w:rPr>
        <w:lastRenderedPageBreak/>
        <w:t>dentro de los límites de la facultad atribuida y manteniendo debida proporción entre los medios a emplear y los fines públicos que deba tutelar, a fin que respondan a lo estrictamente necesario para la satisfacción de su cometido.</w:t>
      </w:r>
    </w:p>
    <w:p w:rsidR="00AF15C6" w:rsidRDefault="00AF15C6" w:rsidP="00AF15C6">
      <w:pPr>
        <w:pStyle w:val="Prrafodelista"/>
        <w:ind w:left="284" w:hanging="426"/>
        <w:rPr>
          <w:rFonts w:ascii="Tahoma" w:hAnsi="Tahoma" w:cs="Tahoma"/>
          <w:sz w:val="20"/>
        </w:rPr>
      </w:pPr>
    </w:p>
    <w:p w:rsid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En esa misma lógica, debe tener en cuenta el principio invocado establece que la determinación de la sanción no debe ser desproporcionada y debe guardar relación con la conducta a reprimir, más allá de lo estrictamente necesario para satisfacer los fines de la sanción, atendiendo a la necesidad de que los proveedores y/o contratistas no deban verse privados de su derecho de participar en los procesos de selección y, de ser el caso, proveer al Estado.</w:t>
      </w:r>
    </w:p>
    <w:p w:rsidR="00AF15C6" w:rsidRDefault="00AF15C6" w:rsidP="00AF15C6">
      <w:pPr>
        <w:pStyle w:val="Prrafodelista"/>
        <w:ind w:left="284" w:hanging="426"/>
        <w:rPr>
          <w:rFonts w:ascii="Tahoma" w:hAnsi="Tahoma" w:cs="Tahoma"/>
          <w:sz w:val="20"/>
        </w:rPr>
      </w:pPr>
    </w:p>
    <w:p w:rsid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 xml:space="preserve">Asimismo, debe indicarse que, por su naturaleza, la infracción cometida reviste una considerable gravedad, debido a que vulnera el </w:t>
      </w:r>
      <w:r w:rsidRPr="00AF15C6">
        <w:rPr>
          <w:rFonts w:ascii="Tahoma" w:hAnsi="Tahoma" w:cs="Tahoma"/>
          <w:i/>
          <w:iCs/>
          <w:sz w:val="20"/>
          <w:szCs w:val="20"/>
        </w:rPr>
        <w:t xml:space="preserve">Principio de Moralidad </w:t>
      </w:r>
      <w:r w:rsidRPr="00AF15C6">
        <w:rPr>
          <w:rFonts w:ascii="Tahoma" w:hAnsi="Tahoma" w:cs="Tahoma"/>
          <w:sz w:val="20"/>
          <w:szCs w:val="20"/>
        </w:rPr>
        <w:t xml:space="preserve">que debe regir a todos los actos vinculados a las contrataciones públicas. Del mismo modo,  dicho principio, junto a la </w:t>
      </w:r>
      <w:r w:rsidRPr="00AF15C6">
        <w:rPr>
          <w:rFonts w:ascii="Tahoma" w:hAnsi="Tahoma" w:cs="Tahoma"/>
          <w:i/>
          <w:iCs/>
          <w:sz w:val="20"/>
          <w:szCs w:val="20"/>
        </w:rPr>
        <w:t>Fe Pública</w:t>
      </w:r>
      <w:r w:rsidRPr="00AF15C6">
        <w:rPr>
          <w:rFonts w:ascii="Tahoma" w:hAnsi="Tahoma" w:cs="Tahoma"/>
          <w:sz w:val="20"/>
          <w:szCs w:val="20"/>
        </w:rPr>
        <w:t>, constituyen bienes jurídicos merecedores de protección especial, pues constituyen los pilares de las relaciones suscitadas entre la Administración Pública y los administrados.</w:t>
      </w:r>
    </w:p>
    <w:p w:rsidR="00AF15C6" w:rsidRDefault="00AF15C6" w:rsidP="00AF15C6">
      <w:pPr>
        <w:pStyle w:val="Prrafodelista"/>
        <w:ind w:left="284" w:hanging="426"/>
        <w:rPr>
          <w:rFonts w:ascii="Tahoma" w:hAnsi="Tahoma" w:cs="Tahoma"/>
          <w:sz w:val="20"/>
        </w:rPr>
      </w:pPr>
    </w:p>
    <w:p w:rsid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Así también, abona a favor del Postor el haber remitido sus descargos oportunamente y haber reconocido la comisión de la infracción.</w:t>
      </w:r>
    </w:p>
    <w:p w:rsidR="00AF15C6" w:rsidRDefault="00AF15C6" w:rsidP="00AF15C6">
      <w:pPr>
        <w:pStyle w:val="Prrafodelista"/>
        <w:ind w:left="284" w:hanging="426"/>
        <w:rPr>
          <w:rFonts w:ascii="Tahoma" w:hAnsi="Tahoma" w:cs="Tahoma"/>
          <w:sz w:val="20"/>
        </w:rPr>
      </w:pPr>
    </w:p>
    <w:p w:rsid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Asimismo, debe considerarse  que abona a favor del Postor la ausencia de antecedentes en la comisión de alguna de las infracciones previstas en el Reglamento.</w:t>
      </w:r>
    </w:p>
    <w:p w:rsidR="00AF15C6" w:rsidRDefault="00AF15C6" w:rsidP="00AF15C6">
      <w:pPr>
        <w:pStyle w:val="Prrafodelista"/>
        <w:ind w:left="284" w:hanging="426"/>
        <w:rPr>
          <w:rFonts w:ascii="Tahoma" w:hAnsi="Tahoma" w:cs="Tahoma"/>
          <w:sz w:val="20"/>
        </w:rPr>
      </w:pPr>
    </w:p>
    <w:p w:rsid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Por las consideraciones expuestas, corresponde inhabilitar temporalmente a la empresa REPRESENTACIONES MEDICAS M&amp;M E.I.R.L., en sus derechos para participar en procesos de selección y contratar con el Estado por el período de cuatro (04) meses.</w:t>
      </w:r>
    </w:p>
    <w:p w:rsidR="00AF15C6" w:rsidRDefault="00AF15C6" w:rsidP="00AF15C6">
      <w:pPr>
        <w:pStyle w:val="Prrafodelista"/>
        <w:ind w:left="284" w:hanging="426"/>
        <w:rPr>
          <w:rFonts w:ascii="Tahoma" w:hAnsi="Tahoma" w:cs="Tahoma"/>
          <w:sz w:val="20"/>
        </w:rPr>
      </w:pPr>
    </w:p>
    <w:p w:rsidR="00AF15C6" w:rsidRPr="00AF15C6" w:rsidRDefault="00AF15C6" w:rsidP="00AF15C6">
      <w:pPr>
        <w:numPr>
          <w:ilvl w:val="0"/>
          <w:numId w:val="7"/>
        </w:numPr>
        <w:tabs>
          <w:tab w:val="left" w:pos="1080"/>
        </w:tabs>
        <w:spacing w:after="0" w:line="240" w:lineRule="auto"/>
        <w:ind w:left="284" w:hanging="426"/>
        <w:jc w:val="both"/>
        <w:rPr>
          <w:rFonts w:ascii="Tahoma" w:hAnsi="Tahoma" w:cs="Tahoma"/>
          <w:sz w:val="20"/>
          <w:szCs w:val="20"/>
        </w:rPr>
      </w:pPr>
      <w:r w:rsidRPr="00AF15C6">
        <w:rPr>
          <w:rFonts w:ascii="Tahoma" w:hAnsi="Tahoma" w:cs="Tahoma"/>
          <w:sz w:val="20"/>
          <w:szCs w:val="20"/>
        </w:rPr>
        <w:t>Finalmente, al constatar la presentación de documentos con información inexacta este Colegiado considera pertinente remitir los actuados a la Presidencia Ejecutiva del OSCE, para que en uso de sus atribuciones, adopte las medidas legales correspondientes.</w:t>
      </w:r>
    </w:p>
    <w:p w:rsidR="00AF15C6" w:rsidRPr="00AF15C6" w:rsidRDefault="00AF15C6" w:rsidP="00AF15C6">
      <w:pPr>
        <w:spacing w:after="0" w:line="240" w:lineRule="auto"/>
        <w:ind w:firstLine="567"/>
        <w:jc w:val="both"/>
        <w:rPr>
          <w:rFonts w:ascii="Tahoma" w:hAnsi="Tahoma" w:cs="Tahoma"/>
          <w:sz w:val="20"/>
          <w:szCs w:val="20"/>
          <w:lang w:val="es-ES_tradnl"/>
        </w:rPr>
      </w:pPr>
    </w:p>
    <w:p w:rsidR="00AF15C6" w:rsidRPr="00AF15C6" w:rsidRDefault="00AF15C6" w:rsidP="00AF15C6">
      <w:pPr>
        <w:spacing w:after="0" w:line="240" w:lineRule="auto"/>
        <w:ind w:firstLine="360"/>
        <w:jc w:val="both"/>
        <w:rPr>
          <w:rFonts w:ascii="Tahoma" w:hAnsi="Tahoma" w:cs="Tahoma"/>
          <w:sz w:val="20"/>
          <w:szCs w:val="20"/>
        </w:rPr>
      </w:pPr>
      <w:r w:rsidRPr="00AF15C6">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ind w:right="-315"/>
        <w:jc w:val="both"/>
        <w:rPr>
          <w:rFonts w:ascii="Tahoma" w:hAnsi="Tahoma" w:cs="Tahoma"/>
          <w:b/>
          <w:sz w:val="20"/>
          <w:szCs w:val="20"/>
        </w:rPr>
      </w:pPr>
      <w:r w:rsidRPr="00AF15C6">
        <w:rPr>
          <w:rFonts w:ascii="Tahoma" w:hAnsi="Tahoma" w:cs="Tahoma"/>
          <w:b/>
          <w:sz w:val="20"/>
          <w:szCs w:val="20"/>
        </w:rPr>
        <w:t>LA SALA RESUELVE:</w:t>
      </w:r>
    </w:p>
    <w:p w:rsidR="00AF15C6" w:rsidRDefault="00AF15C6" w:rsidP="00AF15C6">
      <w:pPr>
        <w:pStyle w:val="Prrafodelista"/>
        <w:ind w:left="426"/>
        <w:jc w:val="both"/>
        <w:rPr>
          <w:rFonts w:ascii="Tahoma" w:hAnsi="Tahoma" w:cs="Tahoma"/>
          <w:sz w:val="20"/>
        </w:rPr>
      </w:pPr>
    </w:p>
    <w:p w:rsidR="00AF15C6" w:rsidRDefault="00AF15C6" w:rsidP="00AF15C6">
      <w:pPr>
        <w:pStyle w:val="Prrafodelista"/>
        <w:numPr>
          <w:ilvl w:val="0"/>
          <w:numId w:val="9"/>
        </w:numPr>
        <w:ind w:left="426" w:hanging="426"/>
        <w:jc w:val="both"/>
        <w:rPr>
          <w:rFonts w:ascii="Tahoma" w:hAnsi="Tahoma" w:cs="Tahoma"/>
          <w:sz w:val="20"/>
        </w:rPr>
      </w:pPr>
      <w:r w:rsidRPr="00AF15C6">
        <w:rPr>
          <w:rFonts w:ascii="Tahoma" w:hAnsi="Tahoma" w:cs="Tahoma"/>
          <w:sz w:val="20"/>
        </w:rPr>
        <w:t>SANCIONAR a la empresa REPRESENTACIONES MEDICAS M&amp;M E.I.R.L. con cuatro (04) meses de inhabilitación temporal para participar en procesos de selección y contratar con el Estado por la comisión de la infracción tipificada en el numeral 09) del artículo 294 del Reglamento de la Ley de Contrataciones y Adquisiciones del Estado, aprobado por Decreto Supremo N.° 084-2004-PCM, sanción que entrará en vigencia a partir del sexto día hábil siguiente de notificada la presente resolución. </w:t>
      </w:r>
    </w:p>
    <w:p w:rsidR="00AF15C6" w:rsidRDefault="00AF15C6" w:rsidP="00AF15C6">
      <w:pPr>
        <w:pStyle w:val="Prrafodelista"/>
        <w:ind w:left="426" w:hanging="426"/>
        <w:jc w:val="both"/>
        <w:rPr>
          <w:rFonts w:ascii="Tahoma" w:hAnsi="Tahoma" w:cs="Tahoma"/>
          <w:sz w:val="20"/>
        </w:rPr>
      </w:pPr>
    </w:p>
    <w:p w:rsidR="00AF15C6" w:rsidRDefault="00AF15C6" w:rsidP="00AF15C6">
      <w:pPr>
        <w:pStyle w:val="Prrafodelista"/>
        <w:numPr>
          <w:ilvl w:val="0"/>
          <w:numId w:val="9"/>
        </w:numPr>
        <w:ind w:left="426" w:hanging="426"/>
        <w:jc w:val="both"/>
        <w:rPr>
          <w:rFonts w:ascii="Tahoma" w:hAnsi="Tahoma" w:cs="Tahoma"/>
          <w:sz w:val="20"/>
        </w:rPr>
      </w:pPr>
      <w:r w:rsidRPr="00AF15C6">
        <w:rPr>
          <w:rFonts w:ascii="Tahoma" w:hAnsi="Tahoma" w:cs="Tahoma"/>
          <w:sz w:val="20"/>
        </w:rPr>
        <w:t>Poner la presente Resolución en conocimiento de la Subdirección del Registro Nacional de Proveedores del Organismo Superior de las Contrataciones del Estado (OSCE) para las anotaciones de ley correspondientes.</w:t>
      </w:r>
    </w:p>
    <w:p w:rsidR="00AF15C6" w:rsidRPr="00AF15C6" w:rsidRDefault="00AF15C6" w:rsidP="00AF15C6">
      <w:pPr>
        <w:pStyle w:val="Prrafodelista"/>
        <w:ind w:left="426" w:hanging="426"/>
        <w:jc w:val="both"/>
        <w:rPr>
          <w:rFonts w:ascii="Tahoma" w:hAnsi="Tahoma" w:cs="Tahoma"/>
          <w:sz w:val="20"/>
        </w:rPr>
      </w:pPr>
    </w:p>
    <w:p w:rsidR="00AF15C6" w:rsidRPr="00AF15C6" w:rsidRDefault="00AF15C6" w:rsidP="00AF15C6">
      <w:pPr>
        <w:pStyle w:val="Prrafodelista"/>
        <w:numPr>
          <w:ilvl w:val="0"/>
          <w:numId w:val="9"/>
        </w:numPr>
        <w:ind w:left="426" w:hanging="426"/>
        <w:jc w:val="both"/>
        <w:rPr>
          <w:rFonts w:ascii="Tahoma" w:hAnsi="Tahoma" w:cs="Tahoma"/>
          <w:sz w:val="20"/>
        </w:rPr>
      </w:pPr>
      <w:r w:rsidRPr="00AF15C6">
        <w:rPr>
          <w:rFonts w:ascii="Tahoma" w:hAnsi="Tahoma" w:cs="Tahoma"/>
          <w:sz w:val="20"/>
        </w:rPr>
        <w:t>Poner la presente Resolución a la Presidencia Ejecutiva del OSCE, para que en uso de sus atribuciones, adopte las medidas legales correspondientes.</w:t>
      </w:r>
    </w:p>
    <w:p w:rsidR="00AF15C6" w:rsidRPr="00AF15C6" w:rsidRDefault="00AF15C6" w:rsidP="00AF15C6">
      <w:pPr>
        <w:pStyle w:val="Ttulo3"/>
        <w:spacing w:line="240" w:lineRule="auto"/>
        <w:jc w:val="both"/>
        <w:rPr>
          <w:rFonts w:ascii="Tahoma" w:hAnsi="Tahoma" w:cs="Tahoma"/>
          <w:b w:val="0"/>
          <w:bCs w:val="0"/>
          <w:sz w:val="20"/>
          <w:szCs w:val="20"/>
        </w:rPr>
      </w:pPr>
      <w:r w:rsidRPr="00AF15C6">
        <w:rPr>
          <w:rFonts w:ascii="Tahoma" w:hAnsi="Tahoma" w:cs="Tahoma"/>
          <w:b w:val="0"/>
          <w:sz w:val="20"/>
          <w:szCs w:val="20"/>
        </w:rPr>
        <w:t>Regístrese, comuníquese y publíquese.</w:t>
      </w: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ind w:left="2832" w:firstLine="708"/>
        <w:jc w:val="both"/>
        <w:rPr>
          <w:rFonts w:ascii="Tahoma" w:hAnsi="Tahoma" w:cs="Tahoma"/>
          <w:b/>
          <w:shadow/>
          <w:sz w:val="20"/>
          <w:szCs w:val="20"/>
        </w:rPr>
      </w:pPr>
      <w:r w:rsidRPr="00AF15C6">
        <w:rPr>
          <w:rFonts w:ascii="Tahoma" w:hAnsi="Tahoma" w:cs="Tahoma"/>
          <w:b/>
          <w:shadow/>
          <w:sz w:val="20"/>
          <w:szCs w:val="20"/>
        </w:rPr>
        <w:t>PRESIDENTE</w:t>
      </w: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b/>
          <w:shadow/>
          <w:sz w:val="20"/>
          <w:szCs w:val="20"/>
        </w:rPr>
      </w:pPr>
    </w:p>
    <w:p w:rsidR="00AF15C6" w:rsidRPr="00AF15C6" w:rsidRDefault="00AF15C6" w:rsidP="00AF15C6">
      <w:pPr>
        <w:spacing w:after="0" w:line="240" w:lineRule="auto"/>
        <w:jc w:val="both"/>
        <w:rPr>
          <w:rFonts w:ascii="Tahoma" w:hAnsi="Tahoma" w:cs="Tahoma"/>
          <w:shadow/>
          <w:sz w:val="20"/>
          <w:szCs w:val="20"/>
        </w:rPr>
      </w:pPr>
      <w:r w:rsidRPr="00AF15C6">
        <w:rPr>
          <w:rFonts w:ascii="Tahoma" w:hAnsi="Tahoma" w:cs="Tahoma"/>
          <w:b/>
          <w:shadow/>
          <w:sz w:val="20"/>
          <w:szCs w:val="20"/>
        </w:rPr>
        <w:t xml:space="preserve">                   VOCAL</w:t>
      </w:r>
      <w:r w:rsidRPr="00AF15C6">
        <w:rPr>
          <w:rFonts w:ascii="Tahoma" w:hAnsi="Tahoma" w:cs="Tahoma"/>
          <w:b/>
          <w:shadow/>
          <w:sz w:val="20"/>
          <w:szCs w:val="20"/>
        </w:rPr>
        <w:tab/>
      </w:r>
      <w:r w:rsidRPr="00AF15C6">
        <w:rPr>
          <w:rFonts w:ascii="Tahoma" w:hAnsi="Tahoma" w:cs="Tahoma"/>
          <w:b/>
          <w:shadow/>
          <w:sz w:val="20"/>
          <w:szCs w:val="20"/>
        </w:rPr>
        <w:tab/>
      </w:r>
      <w:r w:rsidRPr="00AF15C6">
        <w:rPr>
          <w:rFonts w:ascii="Tahoma" w:hAnsi="Tahoma" w:cs="Tahoma"/>
          <w:b/>
          <w:shadow/>
          <w:sz w:val="20"/>
          <w:szCs w:val="20"/>
        </w:rPr>
        <w:tab/>
      </w:r>
      <w:r w:rsidRPr="00AF15C6">
        <w:rPr>
          <w:rFonts w:ascii="Tahoma" w:hAnsi="Tahoma" w:cs="Tahoma"/>
          <w:b/>
          <w:shadow/>
          <w:sz w:val="20"/>
          <w:szCs w:val="20"/>
        </w:rPr>
        <w:tab/>
      </w:r>
      <w:r w:rsidRPr="00AF15C6">
        <w:rPr>
          <w:rFonts w:ascii="Tahoma" w:hAnsi="Tahoma" w:cs="Tahoma"/>
          <w:b/>
          <w:shadow/>
          <w:sz w:val="20"/>
          <w:szCs w:val="20"/>
        </w:rPr>
        <w:tab/>
      </w:r>
      <w:r w:rsidRPr="00AF15C6">
        <w:rPr>
          <w:rFonts w:ascii="Tahoma" w:hAnsi="Tahoma" w:cs="Tahoma"/>
          <w:b/>
          <w:shadow/>
          <w:sz w:val="20"/>
          <w:szCs w:val="20"/>
        </w:rPr>
        <w:tab/>
      </w:r>
      <w:r w:rsidRPr="00AF15C6">
        <w:rPr>
          <w:rFonts w:ascii="Tahoma" w:hAnsi="Tahoma" w:cs="Tahoma"/>
          <w:b/>
          <w:shadow/>
          <w:sz w:val="20"/>
          <w:szCs w:val="20"/>
        </w:rPr>
        <w:tab/>
      </w:r>
      <w:r w:rsidRPr="00AF15C6">
        <w:rPr>
          <w:rFonts w:ascii="Tahoma" w:hAnsi="Tahoma" w:cs="Tahoma"/>
          <w:b/>
          <w:shadow/>
          <w:sz w:val="20"/>
          <w:szCs w:val="20"/>
        </w:rPr>
        <w:tab/>
        <w:t xml:space="preserve">VOCAL                                                                 </w:t>
      </w: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p>
    <w:p w:rsidR="00AF15C6" w:rsidRPr="00AF15C6" w:rsidRDefault="00AF15C6" w:rsidP="00AF15C6">
      <w:pPr>
        <w:spacing w:after="0" w:line="240" w:lineRule="auto"/>
        <w:jc w:val="both"/>
        <w:rPr>
          <w:rFonts w:ascii="Tahoma" w:hAnsi="Tahoma" w:cs="Tahoma"/>
          <w:sz w:val="20"/>
          <w:szCs w:val="20"/>
        </w:rPr>
      </w:pPr>
      <w:r w:rsidRPr="00AF15C6">
        <w:rPr>
          <w:rFonts w:ascii="Tahoma" w:hAnsi="Tahoma" w:cs="Tahoma"/>
          <w:sz w:val="20"/>
          <w:szCs w:val="20"/>
        </w:rPr>
        <w:t>ss.</w:t>
      </w:r>
    </w:p>
    <w:p w:rsidR="00AF15C6" w:rsidRPr="00AF15C6" w:rsidRDefault="00AF15C6" w:rsidP="00AF15C6">
      <w:pPr>
        <w:spacing w:after="0" w:line="240" w:lineRule="auto"/>
        <w:jc w:val="both"/>
        <w:rPr>
          <w:rFonts w:ascii="Tahoma" w:hAnsi="Tahoma" w:cs="Tahoma"/>
          <w:sz w:val="20"/>
          <w:szCs w:val="20"/>
        </w:rPr>
      </w:pPr>
      <w:r w:rsidRPr="00AF15C6">
        <w:rPr>
          <w:rFonts w:ascii="Tahoma" w:hAnsi="Tahoma" w:cs="Tahoma"/>
          <w:sz w:val="20"/>
          <w:szCs w:val="20"/>
        </w:rPr>
        <w:t>Navas Rondón.</w:t>
      </w:r>
    </w:p>
    <w:p w:rsidR="00AF15C6" w:rsidRPr="00AF15C6" w:rsidRDefault="00AF15C6" w:rsidP="00AF15C6">
      <w:pPr>
        <w:spacing w:after="0" w:line="240" w:lineRule="auto"/>
        <w:jc w:val="both"/>
        <w:rPr>
          <w:rFonts w:ascii="Tahoma" w:hAnsi="Tahoma" w:cs="Tahoma"/>
          <w:sz w:val="20"/>
          <w:szCs w:val="20"/>
        </w:rPr>
      </w:pPr>
      <w:r w:rsidRPr="00AF15C6">
        <w:rPr>
          <w:rFonts w:ascii="Tahoma" w:hAnsi="Tahoma" w:cs="Tahoma"/>
          <w:sz w:val="20"/>
          <w:szCs w:val="20"/>
        </w:rPr>
        <w:t>Ramírez Maynetto.</w:t>
      </w:r>
    </w:p>
    <w:p w:rsidR="00AF15C6" w:rsidRPr="00AF15C6" w:rsidRDefault="00AF15C6" w:rsidP="00AF15C6">
      <w:pPr>
        <w:spacing w:after="0" w:line="240" w:lineRule="auto"/>
        <w:jc w:val="both"/>
        <w:rPr>
          <w:rFonts w:ascii="Tahoma" w:hAnsi="Tahoma" w:cs="Tahoma"/>
          <w:sz w:val="20"/>
          <w:szCs w:val="20"/>
        </w:rPr>
      </w:pPr>
      <w:r w:rsidRPr="00AF15C6">
        <w:rPr>
          <w:rFonts w:ascii="Tahoma" w:hAnsi="Tahoma" w:cs="Tahoma"/>
          <w:sz w:val="20"/>
          <w:szCs w:val="20"/>
        </w:rPr>
        <w:t xml:space="preserve">Basulto Liewald, </w:t>
      </w:r>
    </w:p>
    <w:p w:rsidR="00AF15C6" w:rsidRPr="00AF15C6" w:rsidRDefault="00AF15C6" w:rsidP="00AF15C6">
      <w:pPr>
        <w:spacing w:line="240" w:lineRule="auto"/>
        <w:jc w:val="both"/>
        <w:rPr>
          <w:rFonts w:ascii="Tahoma" w:hAnsi="Tahoma" w:cs="Tahoma"/>
          <w:sz w:val="20"/>
          <w:szCs w:val="20"/>
        </w:rPr>
      </w:pPr>
    </w:p>
    <w:p w:rsidR="00AF15C6" w:rsidRPr="00AF15C6" w:rsidRDefault="00AF15C6" w:rsidP="00AF15C6">
      <w:pPr>
        <w:spacing w:line="240" w:lineRule="auto"/>
        <w:jc w:val="both"/>
        <w:rPr>
          <w:rFonts w:ascii="Tahoma" w:hAnsi="Tahoma" w:cs="Tahoma"/>
          <w:sz w:val="20"/>
          <w:szCs w:val="20"/>
        </w:rPr>
      </w:pPr>
    </w:p>
    <w:p w:rsidR="00260F0B" w:rsidRPr="00AF15C6" w:rsidRDefault="00FE5C6C" w:rsidP="00AF15C6">
      <w:pPr>
        <w:spacing w:line="240" w:lineRule="auto"/>
        <w:jc w:val="both"/>
        <w:rPr>
          <w:rFonts w:ascii="Tahoma" w:hAnsi="Tahoma" w:cs="Tahoma"/>
          <w:sz w:val="20"/>
          <w:szCs w:val="20"/>
        </w:rPr>
      </w:pPr>
    </w:p>
    <w:sectPr w:rsidR="00260F0B" w:rsidRPr="00AF15C6" w:rsidSect="00636610">
      <w:headerReference w:type="default" r:id="rId7"/>
      <w:footerReference w:type="default" r:id="rId8"/>
      <w:pgSz w:w="11906" w:h="16838"/>
      <w:pgMar w:top="2694" w:right="1841" w:bottom="1276"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C6C" w:rsidRDefault="00FE5C6C" w:rsidP="00AF15C6">
      <w:pPr>
        <w:spacing w:after="0" w:line="240" w:lineRule="auto"/>
      </w:pPr>
      <w:r>
        <w:separator/>
      </w:r>
    </w:p>
  </w:endnote>
  <w:endnote w:type="continuationSeparator" w:id="1">
    <w:p w:rsidR="00FE5C6C" w:rsidRDefault="00FE5C6C" w:rsidP="00AF1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3E" w:rsidRPr="00FD5A0C" w:rsidRDefault="008729CF">
    <w:pPr>
      <w:pStyle w:val="Piedepgina"/>
      <w:jc w:val="center"/>
      <w:rPr>
        <w:rFonts w:ascii="Tahoma" w:hAnsi="Tahoma" w:cs="Tahoma"/>
        <w:i/>
        <w:sz w:val="18"/>
        <w:szCs w:val="18"/>
      </w:rPr>
    </w:pPr>
    <w:r w:rsidRPr="00FD5A0C">
      <w:rPr>
        <w:rFonts w:ascii="Tahoma" w:hAnsi="Tahoma" w:cs="Tahoma"/>
        <w:i/>
        <w:sz w:val="18"/>
        <w:szCs w:val="18"/>
      </w:rPr>
      <w:t xml:space="preserve">Página </w:t>
    </w:r>
    <w:r w:rsidR="000D2C9F" w:rsidRPr="00FD5A0C">
      <w:rPr>
        <w:rFonts w:ascii="Tahoma" w:hAnsi="Tahoma" w:cs="Tahoma"/>
        <w:i/>
        <w:sz w:val="18"/>
        <w:szCs w:val="18"/>
      </w:rPr>
      <w:fldChar w:fldCharType="begin"/>
    </w:r>
    <w:r w:rsidRPr="00FD5A0C">
      <w:rPr>
        <w:rFonts w:ascii="Tahoma" w:hAnsi="Tahoma" w:cs="Tahoma"/>
        <w:i/>
        <w:sz w:val="18"/>
        <w:szCs w:val="18"/>
      </w:rPr>
      <w:instrText>PAGE</w:instrText>
    </w:r>
    <w:r w:rsidR="000D2C9F" w:rsidRPr="00FD5A0C">
      <w:rPr>
        <w:rFonts w:ascii="Tahoma" w:hAnsi="Tahoma" w:cs="Tahoma"/>
        <w:i/>
        <w:sz w:val="18"/>
        <w:szCs w:val="18"/>
      </w:rPr>
      <w:fldChar w:fldCharType="separate"/>
    </w:r>
    <w:r w:rsidR="00A1688D">
      <w:rPr>
        <w:rFonts w:ascii="Tahoma" w:hAnsi="Tahoma" w:cs="Tahoma"/>
        <w:i/>
        <w:noProof/>
        <w:sz w:val="18"/>
        <w:szCs w:val="18"/>
      </w:rPr>
      <w:t>1</w:t>
    </w:r>
    <w:r w:rsidR="000D2C9F" w:rsidRPr="00FD5A0C">
      <w:rPr>
        <w:rFonts w:ascii="Tahoma" w:hAnsi="Tahoma" w:cs="Tahoma"/>
        <w:i/>
        <w:sz w:val="18"/>
        <w:szCs w:val="18"/>
      </w:rPr>
      <w:fldChar w:fldCharType="end"/>
    </w:r>
    <w:r w:rsidRPr="00FD5A0C">
      <w:rPr>
        <w:rFonts w:ascii="Tahoma" w:hAnsi="Tahoma" w:cs="Tahoma"/>
        <w:i/>
        <w:sz w:val="18"/>
        <w:szCs w:val="18"/>
      </w:rPr>
      <w:t xml:space="preserve"> de </w:t>
    </w:r>
    <w:r w:rsidR="000D2C9F" w:rsidRPr="00FD5A0C">
      <w:rPr>
        <w:rFonts w:ascii="Tahoma" w:hAnsi="Tahoma" w:cs="Tahoma"/>
        <w:i/>
        <w:sz w:val="18"/>
        <w:szCs w:val="18"/>
      </w:rPr>
      <w:fldChar w:fldCharType="begin"/>
    </w:r>
    <w:r w:rsidRPr="00FD5A0C">
      <w:rPr>
        <w:rFonts w:ascii="Tahoma" w:hAnsi="Tahoma" w:cs="Tahoma"/>
        <w:i/>
        <w:sz w:val="18"/>
        <w:szCs w:val="18"/>
      </w:rPr>
      <w:instrText>NUMPAGES</w:instrText>
    </w:r>
    <w:r w:rsidR="000D2C9F" w:rsidRPr="00FD5A0C">
      <w:rPr>
        <w:rFonts w:ascii="Tahoma" w:hAnsi="Tahoma" w:cs="Tahoma"/>
        <w:i/>
        <w:sz w:val="18"/>
        <w:szCs w:val="18"/>
      </w:rPr>
      <w:fldChar w:fldCharType="separate"/>
    </w:r>
    <w:r w:rsidR="00A1688D">
      <w:rPr>
        <w:rFonts w:ascii="Tahoma" w:hAnsi="Tahoma" w:cs="Tahoma"/>
        <w:i/>
        <w:noProof/>
        <w:sz w:val="18"/>
        <w:szCs w:val="18"/>
      </w:rPr>
      <w:t>8</w:t>
    </w:r>
    <w:r w:rsidR="000D2C9F" w:rsidRPr="00FD5A0C">
      <w:rPr>
        <w:rFonts w:ascii="Tahoma" w:hAnsi="Tahoma" w:cs="Tahoma"/>
        <w:i/>
        <w:sz w:val="18"/>
        <w:szCs w:val="18"/>
      </w:rPr>
      <w:fldChar w:fldCharType="end"/>
    </w:r>
  </w:p>
  <w:p w:rsidR="0065213E" w:rsidRDefault="00FE5C6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C6C" w:rsidRDefault="00FE5C6C" w:rsidP="00AF15C6">
      <w:pPr>
        <w:spacing w:after="0" w:line="240" w:lineRule="auto"/>
      </w:pPr>
      <w:r>
        <w:separator/>
      </w:r>
    </w:p>
  </w:footnote>
  <w:footnote w:type="continuationSeparator" w:id="1">
    <w:p w:rsidR="00FE5C6C" w:rsidRDefault="00FE5C6C" w:rsidP="00AF15C6">
      <w:pPr>
        <w:spacing w:after="0" w:line="240" w:lineRule="auto"/>
      </w:pPr>
      <w:r>
        <w:continuationSeparator/>
      </w:r>
    </w:p>
  </w:footnote>
  <w:footnote w:id="2">
    <w:p w:rsidR="00AF15C6" w:rsidRDefault="00AF15C6" w:rsidP="00AF15C6">
      <w:pPr>
        <w:pStyle w:val="Textonotapie"/>
      </w:pPr>
      <w:r>
        <w:rPr>
          <w:rStyle w:val="Refdenotaalpie"/>
          <w:b/>
          <w:bCs/>
        </w:rPr>
        <w:footnoteRef/>
      </w:r>
      <w:r>
        <w:rPr>
          <w:sz w:val="16"/>
          <w:szCs w:val="16"/>
        </w:rPr>
        <w:t xml:space="preserve"> </w:t>
      </w:r>
      <w:r>
        <w:rPr>
          <w:b/>
          <w:bCs/>
          <w:sz w:val="16"/>
          <w:szCs w:val="16"/>
        </w:rPr>
        <w:t>El Principio de Presunción de Veracidad</w:t>
      </w:r>
      <w:r>
        <w:rPr>
          <w:sz w:val="16"/>
          <w:szCs w:val="16"/>
        </w:rPr>
        <w:t xml:space="preserve"> consiste en </w:t>
      </w:r>
      <w:r>
        <w:rPr>
          <w:i/>
          <w:iCs/>
          <w:sz w:val="16"/>
          <w:szCs w:val="16"/>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Pr>
          <w:sz w:val="16"/>
          <w:szCs w:val="16"/>
        </w:rPr>
        <w:t xml:space="preserve"> MORÓN URBINA, Juan Carlos. </w:t>
      </w:r>
      <w:r>
        <w:rPr>
          <w:b/>
          <w:bCs/>
          <w:sz w:val="16"/>
          <w:szCs w:val="16"/>
        </w:rPr>
        <w:t>Comentarios a la Ley del Procedimiento Administrativo General</w:t>
      </w:r>
      <w:r>
        <w:rPr>
          <w:sz w:val="16"/>
          <w:szCs w:val="16"/>
        </w:rPr>
        <w:t>. Cuarta Edición. Lima: Gaceta Jurídica, 2005; pp. 74 -75.</w:t>
      </w:r>
    </w:p>
  </w:footnote>
  <w:footnote w:id="3">
    <w:p w:rsidR="00AF15C6" w:rsidRPr="00AF15C6" w:rsidRDefault="00AF15C6" w:rsidP="00AF15C6">
      <w:pPr>
        <w:pStyle w:val="Textonotapie"/>
        <w:rPr>
          <w:sz w:val="16"/>
          <w:szCs w:val="16"/>
        </w:rPr>
      </w:pPr>
      <w:r w:rsidRPr="00AF15C6">
        <w:rPr>
          <w:rStyle w:val="Refdenotaalpie"/>
          <w:iCs/>
        </w:rPr>
        <w:footnoteRef/>
      </w:r>
      <w:r>
        <w:rPr>
          <w:rFonts w:ascii="Calibri" w:hAnsi="Calibri" w:cs="Calibri"/>
          <w:i/>
          <w:iCs/>
          <w:sz w:val="16"/>
          <w:szCs w:val="16"/>
        </w:rPr>
        <w:t xml:space="preserve">  </w:t>
      </w:r>
      <w:r w:rsidRPr="00AF15C6">
        <w:rPr>
          <w:iCs/>
          <w:sz w:val="16"/>
          <w:szCs w:val="16"/>
        </w:rPr>
        <w:t>Artículo 42 de la Ley Nº 27444, Ley del Procedimiento Administrativo General.</w:t>
      </w:r>
    </w:p>
  </w:footnote>
  <w:footnote w:id="4">
    <w:p w:rsidR="00AF15C6" w:rsidRPr="00AF15C6" w:rsidRDefault="00AF15C6" w:rsidP="00AF15C6">
      <w:pPr>
        <w:pStyle w:val="Textonotapie"/>
        <w:rPr>
          <w:sz w:val="16"/>
          <w:szCs w:val="16"/>
        </w:rPr>
      </w:pPr>
      <w:r w:rsidRPr="00AF15C6">
        <w:rPr>
          <w:rStyle w:val="Refdenotaalpie"/>
          <w:iCs/>
          <w:sz w:val="16"/>
          <w:szCs w:val="16"/>
        </w:rPr>
        <w:footnoteRef/>
      </w:r>
      <w:r w:rsidRPr="00AF15C6">
        <w:rPr>
          <w:iCs/>
          <w:sz w:val="16"/>
          <w:szCs w:val="16"/>
        </w:rPr>
        <w:t xml:space="preserve"> Literal c) del artículo 76 del Reglamento de la Ley de Contrataciones del Estado.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8D" w:rsidRDefault="00A1688D" w:rsidP="00A1688D">
    <w:pPr>
      <w:pStyle w:val="Encabezado"/>
      <w:rPr>
        <w:noProof/>
      </w:rPr>
    </w:pPr>
    <w:r>
      <w:rPr>
        <w:noProof/>
        <w:lang w:eastAsia="es-ES"/>
      </w:rPr>
      <w:drawing>
        <wp:anchor distT="0" distB="0" distL="114300" distR="114300" simplePos="0" relativeHeight="251660288"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1688D" w:rsidRDefault="00A1688D" w:rsidP="00A1688D">
    <w:pPr>
      <w:pStyle w:val="Encabezado"/>
      <w:rPr>
        <w:noProof/>
      </w:rPr>
    </w:pPr>
  </w:p>
  <w:p w:rsidR="00A1688D" w:rsidRDefault="00A1688D" w:rsidP="00A1688D">
    <w:pPr>
      <w:pStyle w:val="Encabezado"/>
      <w:rPr>
        <w:noProof/>
      </w:rPr>
    </w:pPr>
  </w:p>
  <w:p w:rsidR="00A1688D" w:rsidRDefault="00A1688D" w:rsidP="00A1688D">
    <w:pPr>
      <w:pStyle w:val="Encabezado"/>
      <w:rPr>
        <w:noProof/>
      </w:rPr>
    </w:pPr>
  </w:p>
  <w:p w:rsidR="00A1688D" w:rsidRDefault="00A1688D" w:rsidP="00A1688D">
    <w:pPr>
      <w:pStyle w:val="Encabezado"/>
      <w:jc w:val="center"/>
    </w:pPr>
    <w:r>
      <w:rPr>
        <w:rFonts w:ascii="Monotype Corsiva" w:hAnsi="Monotype Corsiva"/>
        <w:b/>
        <w:sz w:val="44"/>
        <w:szCs w:val="44"/>
      </w:rPr>
      <w:t xml:space="preserve">Resolución Nº   </w:t>
    </w:r>
    <w:r>
      <w:rPr>
        <w:rFonts w:ascii="Tahoma" w:hAnsi="Tahoma" w:cs="Tahoma"/>
        <w:b/>
        <w:sz w:val="44"/>
        <w:szCs w:val="44"/>
      </w:rPr>
      <w:t>396-2011-TC-S1</w:t>
    </w:r>
  </w:p>
  <w:p w:rsidR="00A1688D" w:rsidRDefault="00A1688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A7D80"/>
    <w:multiLevelType w:val="hybridMultilevel"/>
    <w:tmpl w:val="93603076"/>
    <w:lvl w:ilvl="0" w:tplc="7F3A3152">
      <w:start w:val="1"/>
      <w:numFmt w:val="decimal"/>
      <w:lvlText w:val="%1."/>
      <w:lvlJc w:val="left"/>
      <w:pPr>
        <w:ind w:left="720" w:hanging="36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18A35F67"/>
    <w:multiLevelType w:val="hybridMultilevel"/>
    <w:tmpl w:val="D220BFC4"/>
    <w:lvl w:ilvl="0" w:tplc="7DE8CEB2">
      <w:start w:val="1"/>
      <w:numFmt w:val="decimal"/>
      <w:lvlText w:val="%1."/>
      <w:lvlJc w:val="left"/>
      <w:pPr>
        <w:ind w:left="720" w:hanging="36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9087D5E"/>
    <w:multiLevelType w:val="hybridMultilevel"/>
    <w:tmpl w:val="8ED896A4"/>
    <w:lvl w:ilvl="0" w:tplc="BA58379A">
      <w:start w:val="1"/>
      <w:numFmt w:val="decimal"/>
      <w:lvlText w:val="%1."/>
      <w:lvlJc w:val="left"/>
      <w:pPr>
        <w:tabs>
          <w:tab w:val="num" w:pos="720"/>
        </w:tabs>
        <w:ind w:left="72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9FA3BA3"/>
    <w:multiLevelType w:val="hybridMultilevel"/>
    <w:tmpl w:val="218C5210"/>
    <w:lvl w:ilvl="0" w:tplc="95484F20">
      <w:start w:val="1"/>
      <w:numFmt w:val="decimal"/>
      <w:lvlText w:val="3.%1."/>
      <w:lvlJc w:val="left"/>
      <w:pPr>
        <w:ind w:left="1146" w:hanging="360"/>
      </w:pPr>
      <w:rPr>
        <w:rFonts w:hint="default"/>
        <w:b w:val="0"/>
        <w:bCs w:val="0"/>
        <w:i w:val="0"/>
        <w:iCs w:val="0"/>
        <w:sz w:val="20"/>
        <w:szCs w:val="20"/>
      </w:r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start w:val="1"/>
      <w:numFmt w:val="decimal"/>
      <w:lvlText w:val="%4."/>
      <w:lvlJc w:val="left"/>
      <w:pPr>
        <w:ind w:left="3306" w:hanging="360"/>
      </w:pPr>
    </w:lvl>
    <w:lvl w:ilvl="4" w:tplc="0C0A0019">
      <w:start w:val="1"/>
      <w:numFmt w:val="lowerLetter"/>
      <w:lvlText w:val="%5."/>
      <w:lvlJc w:val="left"/>
      <w:pPr>
        <w:ind w:left="4026" w:hanging="360"/>
      </w:pPr>
    </w:lvl>
    <w:lvl w:ilvl="5" w:tplc="0C0A001B">
      <w:start w:val="1"/>
      <w:numFmt w:val="lowerRoman"/>
      <w:lvlText w:val="%6."/>
      <w:lvlJc w:val="right"/>
      <w:pPr>
        <w:ind w:left="4746" w:hanging="180"/>
      </w:pPr>
    </w:lvl>
    <w:lvl w:ilvl="6" w:tplc="0C0A000F">
      <w:start w:val="1"/>
      <w:numFmt w:val="decimal"/>
      <w:lvlText w:val="%7."/>
      <w:lvlJc w:val="left"/>
      <w:pPr>
        <w:ind w:left="5466" w:hanging="360"/>
      </w:pPr>
    </w:lvl>
    <w:lvl w:ilvl="7" w:tplc="0C0A0019">
      <w:start w:val="1"/>
      <w:numFmt w:val="lowerLetter"/>
      <w:lvlText w:val="%8."/>
      <w:lvlJc w:val="left"/>
      <w:pPr>
        <w:ind w:left="6186" w:hanging="360"/>
      </w:pPr>
    </w:lvl>
    <w:lvl w:ilvl="8" w:tplc="0C0A001B">
      <w:start w:val="1"/>
      <w:numFmt w:val="lowerRoman"/>
      <w:lvlText w:val="%9."/>
      <w:lvlJc w:val="right"/>
      <w:pPr>
        <w:ind w:left="6906" w:hanging="180"/>
      </w:pPr>
    </w:lvl>
  </w:abstractNum>
  <w:abstractNum w:abstractNumId="4">
    <w:nsid w:val="26722C80"/>
    <w:multiLevelType w:val="hybridMultilevel"/>
    <w:tmpl w:val="327E6F1C"/>
    <w:lvl w:ilvl="0" w:tplc="61B26CA4">
      <w:start w:val="1"/>
      <w:numFmt w:val="upperLetter"/>
      <w:lvlText w:val="%1."/>
      <w:lvlJc w:val="left"/>
      <w:pPr>
        <w:ind w:left="540" w:hanging="54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17BE153C">
      <w:start w:val="1"/>
      <w:numFmt w:val="decimal"/>
      <w:lvlText w:val="%4."/>
      <w:lvlJc w:val="left"/>
      <w:pPr>
        <w:ind w:left="2880" w:hanging="360"/>
      </w:pPr>
      <w:rPr>
        <w:b/>
        <w:bCs/>
        <w:i w:val="0"/>
        <w:iCs w:val="0"/>
        <w:sz w:val="20"/>
        <w:szCs w:val="20"/>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FAD2FD0"/>
    <w:multiLevelType w:val="hybridMultilevel"/>
    <w:tmpl w:val="4CC20CE4"/>
    <w:lvl w:ilvl="0" w:tplc="07A834C8">
      <w:start w:val="1"/>
      <w:numFmt w:val="decimal"/>
      <w:lvlText w:val="%1."/>
      <w:lvlJc w:val="left"/>
      <w:pPr>
        <w:ind w:left="900" w:hanging="360"/>
      </w:pPr>
      <w:rPr>
        <w:rFonts w:hint="default"/>
        <w:b/>
        <w:bCs/>
      </w:rPr>
    </w:lvl>
    <w:lvl w:ilvl="1" w:tplc="0C0A0019">
      <w:start w:val="1"/>
      <w:numFmt w:val="lowerLetter"/>
      <w:lvlText w:val="%2."/>
      <w:lvlJc w:val="left"/>
      <w:pPr>
        <w:ind w:left="1620" w:hanging="360"/>
      </w:pPr>
    </w:lvl>
    <w:lvl w:ilvl="2" w:tplc="0C0A001B">
      <w:start w:val="1"/>
      <w:numFmt w:val="lowerRoman"/>
      <w:lvlText w:val="%3."/>
      <w:lvlJc w:val="right"/>
      <w:pPr>
        <w:ind w:left="2340" w:hanging="180"/>
      </w:pPr>
    </w:lvl>
    <w:lvl w:ilvl="3" w:tplc="0C0A000F">
      <w:start w:val="1"/>
      <w:numFmt w:val="decimal"/>
      <w:lvlText w:val="%4."/>
      <w:lvlJc w:val="left"/>
      <w:pPr>
        <w:ind w:left="3060" w:hanging="360"/>
      </w:pPr>
    </w:lvl>
    <w:lvl w:ilvl="4" w:tplc="0C0A0019">
      <w:start w:val="1"/>
      <w:numFmt w:val="lowerLetter"/>
      <w:lvlText w:val="%5."/>
      <w:lvlJc w:val="left"/>
      <w:pPr>
        <w:ind w:left="3780" w:hanging="360"/>
      </w:pPr>
    </w:lvl>
    <w:lvl w:ilvl="5" w:tplc="0C0A001B">
      <w:start w:val="1"/>
      <w:numFmt w:val="lowerRoman"/>
      <w:lvlText w:val="%6."/>
      <w:lvlJc w:val="right"/>
      <w:pPr>
        <w:ind w:left="4500" w:hanging="180"/>
      </w:pPr>
    </w:lvl>
    <w:lvl w:ilvl="6" w:tplc="0C0A000F">
      <w:start w:val="1"/>
      <w:numFmt w:val="decimal"/>
      <w:lvlText w:val="%7."/>
      <w:lvlJc w:val="left"/>
      <w:pPr>
        <w:ind w:left="5220" w:hanging="360"/>
      </w:pPr>
    </w:lvl>
    <w:lvl w:ilvl="7" w:tplc="0C0A0019">
      <w:start w:val="1"/>
      <w:numFmt w:val="lowerLetter"/>
      <w:lvlText w:val="%8."/>
      <w:lvlJc w:val="left"/>
      <w:pPr>
        <w:ind w:left="5940" w:hanging="360"/>
      </w:pPr>
    </w:lvl>
    <w:lvl w:ilvl="8" w:tplc="0C0A001B">
      <w:start w:val="1"/>
      <w:numFmt w:val="lowerRoman"/>
      <w:lvlText w:val="%9."/>
      <w:lvlJc w:val="right"/>
      <w:pPr>
        <w:ind w:left="6660" w:hanging="180"/>
      </w:pPr>
    </w:lvl>
  </w:abstractNum>
  <w:abstractNum w:abstractNumId="6">
    <w:nsid w:val="39BA4C46"/>
    <w:multiLevelType w:val="hybridMultilevel"/>
    <w:tmpl w:val="D054D054"/>
    <w:lvl w:ilvl="0" w:tplc="CE5ADC3C">
      <w:start w:val="1"/>
      <w:numFmt w:val="decimal"/>
      <w:lvlText w:val="%1."/>
      <w:lvlJc w:val="left"/>
      <w:pPr>
        <w:ind w:left="1080" w:hanging="360"/>
      </w:pPr>
      <w:rPr>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3D9F33D5"/>
    <w:multiLevelType w:val="hybridMultilevel"/>
    <w:tmpl w:val="ED44DA78"/>
    <w:lvl w:ilvl="0" w:tplc="AB28C344">
      <w:start w:val="1"/>
      <w:numFmt w:val="decimal"/>
      <w:lvlText w:val="%1."/>
      <w:lvlJc w:val="left"/>
      <w:pPr>
        <w:ind w:left="360" w:hanging="360"/>
      </w:pPr>
      <w:rPr>
        <w:b/>
        <w:bCs/>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abstractNum w:abstractNumId="8">
    <w:nsid w:val="7DF43C5A"/>
    <w:multiLevelType w:val="hybridMultilevel"/>
    <w:tmpl w:val="FD0C6858"/>
    <w:lvl w:ilvl="0" w:tplc="0C0A0019">
      <w:start w:val="1"/>
      <w:numFmt w:val="lowerLetter"/>
      <w:lvlText w:val="%1."/>
      <w:lvlJc w:val="lef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8"/>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F15C6"/>
    <w:rsid w:val="000D2C9F"/>
    <w:rsid w:val="00135D85"/>
    <w:rsid w:val="00636610"/>
    <w:rsid w:val="0066645E"/>
    <w:rsid w:val="008729CF"/>
    <w:rsid w:val="0096071E"/>
    <w:rsid w:val="00A1688D"/>
    <w:rsid w:val="00AF15C6"/>
    <w:rsid w:val="00C61F2A"/>
    <w:rsid w:val="00D1409D"/>
    <w:rsid w:val="00FE5C6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5C6"/>
    <w:rPr>
      <w:rFonts w:ascii="Calibri" w:eastAsia="Calibri" w:hAnsi="Calibri" w:cs="Times New Roman"/>
    </w:rPr>
  </w:style>
  <w:style w:type="paragraph" w:styleId="Ttulo2">
    <w:name w:val="heading 2"/>
    <w:basedOn w:val="Normal"/>
    <w:next w:val="Normal"/>
    <w:link w:val="Ttulo2Car"/>
    <w:qFormat/>
    <w:rsid w:val="00AF15C6"/>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AF15C6"/>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F15C6"/>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AF15C6"/>
    <w:rPr>
      <w:rFonts w:ascii="Arial" w:eastAsia="Calibri" w:hAnsi="Arial" w:cs="Arial"/>
      <w:b/>
      <w:bCs/>
      <w:sz w:val="26"/>
      <w:szCs w:val="26"/>
    </w:rPr>
  </w:style>
  <w:style w:type="paragraph" w:styleId="Textoindependiente3">
    <w:name w:val="Body Text 3"/>
    <w:basedOn w:val="Normal"/>
    <w:link w:val="Textoindependiente3Car"/>
    <w:semiHidden/>
    <w:unhideWhenUsed/>
    <w:rsid w:val="00AF15C6"/>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AF15C6"/>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AF15C6"/>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AF15C6"/>
    <w:pPr>
      <w:tabs>
        <w:tab w:val="center" w:pos="4252"/>
        <w:tab w:val="right" w:pos="8504"/>
      </w:tabs>
    </w:pPr>
  </w:style>
  <w:style w:type="character" w:customStyle="1" w:styleId="PiedepginaCar">
    <w:name w:val="Pie de página Car"/>
    <w:basedOn w:val="Fuentedeprrafopredeter"/>
    <w:link w:val="Piedepgina"/>
    <w:uiPriority w:val="99"/>
    <w:rsid w:val="00AF15C6"/>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AF15C6"/>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AF15C6"/>
    <w:rPr>
      <w:rFonts w:ascii="Tahoma" w:eastAsia="Calibri" w:hAnsi="Tahoma" w:cs="Tahoma"/>
      <w:sz w:val="20"/>
      <w:szCs w:val="20"/>
    </w:rPr>
  </w:style>
  <w:style w:type="character" w:styleId="Refdenotaalpie">
    <w:name w:val="footnote reference"/>
    <w:basedOn w:val="Fuentedeprrafopredeter"/>
    <w:uiPriority w:val="99"/>
    <w:semiHidden/>
    <w:rsid w:val="00AF15C6"/>
    <w:rPr>
      <w:vertAlign w:val="superscript"/>
    </w:rPr>
  </w:style>
  <w:style w:type="paragraph" w:styleId="Textoindependiente">
    <w:name w:val="Body Text"/>
    <w:basedOn w:val="Normal"/>
    <w:link w:val="TextoindependienteCar"/>
    <w:uiPriority w:val="99"/>
    <w:unhideWhenUsed/>
    <w:rsid w:val="00AF15C6"/>
    <w:pPr>
      <w:spacing w:after="120"/>
    </w:pPr>
  </w:style>
  <w:style w:type="character" w:customStyle="1" w:styleId="TextoindependienteCar">
    <w:name w:val="Texto independiente Car"/>
    <w:basedOn w:val="Fuentedeprrafopredeter"/>
    <w:link w:val="Textoindependiente"/>
    <w:uiPriority w:val="99"/>
    <w:rsid w:val="00AF15C6"/>
    <w:rPr>
      <w:rFonts w:ascii="Calibri" w:eastAsia="Calibri" w:hAnsi="Calibri" w:cs="Times New Roman"/>
    </w:rPr>
  </w:style>
  <w:style w:type="paragraph" w:styleId="Encabezado">
    <w:name w:val="header"/>
    <w:aliases w:val="maria,h"/>
    <w:basedOn w:val="Normal"/>
    <w:link w:val="EncabezadoCar"/>
    <w:uiPriority w:val="99"/>
    <w:unhideWhenUsed/>
    <w:rsid w:val="00A1688D"/>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rsid w:val="00A1688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3348</Words>
  <Characters>18415</Characters>
  <Application>Microsoft Office Word</Application>
  <DocSecurity>0</DocSecurity>
  <Lines>153</Lines>
  <Paragraphs>43</Paragraphs>
  <ScaleCrop>false</ScaleCrop>
  <Company/>
  <LinksUpToDate>false</LinksUpToDate>
  <CharactersWithSpaces>21720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2011-03-03T21:49:00Z</cp:lastPrinted>
  <dcterms:created xsi:type="dcterms:W3CDTF">2011-03-03T21:31:00Z</dcterms:created>
  <dcterms:modified xsi:type="dcterms:W3CDTF">2011-04-08T14:49:00Z</dcterms:modified>
</cp:coreProperties>
</file>